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F0273" w14:textId="77777777" w:rsidR="00237996" w:rsidRPr="006A4B60" w:rsidRDefault="00237996" w:rsidP="002D4739">
      <w:pPr>
        <w:pStyle w:val="CS-IBMTOCforTOCTitleonly"/>
        <w:rPr>
          <w:rFonts w:ascii="Century Gothic" w:hAnsi="Century Gothic"/>
        </w:rPr>
      </w:pPr>
      <w:r w:rsidRPr="006A4B60">
        <w:rPr>
          <w:rFonts w:ascii="Century Gothic" w:hAnsi="Century Gothic"/>
        </w:rPr>
        <w:t>Table of Contents</w:t>
      </w:r>
    </w:p>
    <w:p w14:paraId="59A6C50C" w14:textId="0868DC82" w:rsidR="00A2071D" w:rsidRDefault="00D41F62">
      <w:pPr>
        <w:pStyle w:val="TOC1"/>
        <w:rPr>
          <w:rFonts w:asciiTheme="minorHAnsi" w:eastAsiaTheme="minorEastAsia" w:hAnsiTheme="minorHAnsi" w:cstheme="minorBidi"/>
          <w:b w:val="0"/>
          <w:color w:val="auto"/>
          <w:kern w:val="2"/>
          <w:sz w:val="24"/>
          <w:szCs w:val="24"/>
          <w:lang w:eastAsia="en-US"/>
          <w14:ligatures w14:val="standardContextual"/>
        </w:rPr>
      </w:pPr>
      <w:r>
        <w:rPr>
          <w:rFonts w:ascii="Arial Bold" w:hAnsi="Arial Bold"/>
          <w:caps/>
          <w:szCs w:val="24"/>
        </w:rPr>
        <w:fldChar w:fldCharType="begin"/>
      </w:r>
      <w:r>
        <w:rPr>
          <w:rFonts w:ascii="Arial Bold" w:hAnsi="Arial Bold"/>
          <w:szCs w:val="24"/>
        </w:rPr>
        <w:instrText xml:space="preserve"> TOC \o "1-3" \h \z \t "CS - IBM Heading 1,1,CS - IBM Heading 2,2,CS - IBM Heading 3,3" </w:instrText>
      </w:r>
      <w:r>
        <w:rPr>
          <w:rFonts w:ascii="Arial Bold" w:hAnsi="Arial Bold"/>
          <w:caps/>
          <w:szCs w:val="24"/>
        </w:rPr>
        <w:fldChar w:fldCharType="separate"/>
      </w:r>
      <w:hyperlink w:anchor="_Toc212405528" w:history="1">
        <w:r w:rsidR="00A2071D" w:rsidRPr="00041F42">
          <w:rPr>
            <w:rStyle w:val="Hyperlink"/>
          </w:rPr>
          <w:t>1</w:t>
        </w:r>
        <w:r w:rsidR="00A2071D">
          <w:rPr>
            <w:rFonts w:asciiTheme="minorHAnsi" w:eastAsiaTheme="minorEastAsia" w:hAnsiTheme="minorHAnsi" w:cstheme="minorBidi"/>
            <w:b w:val="0"/>
            <w:color w:val="auto"/>
            <w:kern w:val="2"/>
            <w:sz w:val="24"/>
            <w:szCs w:val="24"/>
            <w:lang w:eastAsia="en-US"/>
            <w14:ligatures w14:val="standardContextual"/>
          </w:rPr>
          <w:tab/>
        </w:r>
        <w:r w:rsidR="00A2071D" w:rsidRPr="00041F42">
          <w:rPr>
            <w:rStyle w:val="Hyperlink"/>
          </w:rPr>
          <w:t>Executive Summary</w:t>
        </w:r>
        <w:r w:rsidR="00A2071D">
          <w:rPr>
            <w:webHidden/>
          </w:rPr>
          <w:tab/>
        </w:r>
        <w:r w:rsidR="00A2071D">
          <w:rPr>
            <w:webHidden/>
          </w:rPr>
          <w:fldChar w:fldCharType="begin"/>
        </w:r>
        <w:r w:rsidR="00A2071D">
          <w:rPr>
            <w:webHidden/>
          </w:rPr>
          <w:instrText xml:space="preserve"> PAGEREF _Toc212405528 \h </w:instrText>
        </w:r>
        <w:r w:rsidR="00A2071D">
          <w:rPr>
            <w:webHidden/>
          </w:rPr>
        </w:r>
        <w:r w:rsidR="00A2071D">
          <w:rPr>
            <w:webHidden/>
          </w:rPr>
          <w:fldChar w:fldCharType="separate"/>
        </w:r>
        <w:r w:rsidR="000F0685">
          <w:rPr>
            <w:webHidden/>
          </w:rPr>
          <w:t>1</w:t>
        </w:r>
        <w:r w:rsidR="00A2071D">
          <w:rPr>
            <w:webHidden/>
          </w:rPr>
          <w:fldChar w:fldCharType="end"/>
        </w:r>
      </w:hyperlink>
    </w:p>
    <w:p w14:paraId="6DE23852" w14:textId="56F3A71A" w:rsidR="00A2071D" w:rsidRDefault="00A2071D">
      <w:pPr>
        <w:pStyle w:val="TOC2"/>
        <w:rPr>
          <w:rFonts w:asciiTheme="minorHAnsi" w:eastAsiaTheme="minorEastAsia" w:hAnsiTheme="minorHAnsi" w:cstheme="minorBidi"/>
          <w:kern w:val="2"/>
          <w:sz w:val="24"/>
          <w:szCs w:val="24"/>
          <w:lang w:eastAsia="en-US"/>
          <w14:ligatures w14:val="standardContextual"/>
        </w:rPr>
      </w:pPr>
      <w:hyperlink w:anchor="_Toc212405529" w:history="1">
        <w:r w:rsidRPr="00041F42">
          <w:rPr>
            <w:rStyle w:val="Hyperlink"/>
          </w:rPr>
          <w:t>1.1</w:t>
        </w:r>
        <w:r>
          <w:rPr>
            <w:rFonts w:asciiTheme="minorHAnsi" w:eastAsiaTheme="minorEastAsia" w:hAnsiTheme="minorHAnsi" w:cstheme="minorBidi"/>
            <w:kern w:val="2"/>
            <w:sz w:val="24"/>
            <w:szCs w:val="24"/>
            <w:lang w:eastAsia="en-US"/>
            <w14:ligatures w14:val="standardContextual"/>
          </w:rPr>
          <w:tab/>
        </w:r>
        <w:r w:rsidRPr="00041F42">
          <w:rPr>
            <w:rStyle w:val="Hyperlink"/>
          </w:rPr>
          <w:t>Introduction</w:t>
        </w:r>
        <w:r>
          <w:rPr>
            <w:webHidden/>
          </w:rPr>
          <w:tab/>
        </w:r>
        <w:r>
          <w:rPr>
            <w:webHidden/>
          </w:rPr>
          <w:fldChar w:fldCharType="begin"/>
        </w:r>
        <w:r>
          <w:rPr>
            <w:webHidden/>
          </w:rPr>
          <w:instrText xml:space="preserve"> PAGEREF _Toc212405529 \h </w:instrText>
        </w:r>
        <w:r>
          <w:rPr>
            <w:webHidden/>
          </w:rPr>
        </w:r>
        <w:r>
          <w:rPr>
            <w:webHidden/>
          </w:rPr>
          <w:fldChar w:fldCharType="separate"/>
        </w:r>
        <w:r w:rsidR="000F0685">
          <w:rPr>
            <w:webHidden/>
          </w:rPr>
          <w:t>1</w:t>
        </w:r>
        <w:r>
          <w:rPr>
            <w:webHidden/>
          </w:rPr>
          <w:fldChar w:fldCharType="end"/>
        </w:r>
      </w:hyperlink>
    </w:p>
    <w:p w14:paraId="1A978F43" w14:textId="2BE6F24A" w:rsidR="00A2071D" w:rsidRDefault="00A2071D">
      <w:pPr>
        <w:pStyle w:val="TOC2"/>
        <w:rPr>
          <w:rFonts w:asciiTheme="minorHAnsi" w:eastAsiaTheme="minorEastAsia" w:hAnsiTheme="minorHAnsi" w:cstheme="minorBidi"/>
          <w:kern w:val="2"/>
          <w:sz w:val="24"/>
          <w:szCs w:val="24"/>
          <w:lang w:eastAsia="en-US"/>
          <w14:ligatures w14:val="standardContextual"/>
        </w:rPr>
      </w:pPr>
      <w:hyperlink w:anchor="_Toc212405530" w:history="1">
        <w:r w:rsidRPr="00041F42">
          <w:rPr>
            <w:rStyle w:val="Hyperlink"/>
            <w:rFonts w:eastAsia="IBM Plex Sans"/>
          </w:rPr>
          <w:t>1.2</w:t>
        </w:r>
        <w:r>
          <w:rPr>
            <w:rFonts w:asciiTheme="minorHAnsi" w:eastAsiaTheme="minorEastAsia" w:hAnsiTheme="minorHAnsi" w:cstheme="minorBidi"/>
            <w:kern w:val="2"/>
            <w:sz w:val="24"/>
            <w:szCs w:val="24"/>
            <w:lang w:eastAsia="en-US"/>
            <w14:ligatures w14:val="standardContextual"/>
          </w:rPr>
          <w:tab/>
        </w:r>
        <w:r w:rsidRPr="00041F42">
          <w:rPr>
            <w:rStyle w:val="Hyperlink"/>
            <w:rFonts w:eastAsia="IBM Plex Sans"/>
          </w:rPr>
          <w:t>Our Value Proposition, Qualifications, and Background</w:t>
        </w:r>
        <w:r>
          <w:rPr>
            <w:webHidden/>
          </w:rPr>
          <w:tab/>
        </w:r>
        <w:r>
          <w:rPr>
            <w:webHidden/>
          </w:rPr>
          <w:fldChar w:fldCharType="begin"/>
        </w:r>
        <w:r>
          <w:rPr>
            <w:webHidden/>
          </w:rPr>
          <w:instrText xml:space="preserve"> PAGEREF _Toc212405530 \h </w:instrText>
        </w:r>
        <w:r>
          <w:rPr>
            <w:webHidden/>
          </w:rPr>
        </w:r>
        <w:r>
          <w:rPr>
            <w:webHidden/>
          </w:rPr>
          <w:fldChar w:fldCharType="separate"/>
        </w:r>
        <w:r w:rsidR="000F0685">
          <w:rPr>
            <w:webHidden/>
          </w:rPr>
          <w:t>3</w:t>
        </w:r>
        <w:r>
          <w:rPr>
            <w:webHidden/>
          </w:rPr>
          <w:fldChar w:fldCharType="end"/>
        </w:r>
      </w:hyperlink>
    </w:p>
    <w:p w14:paraId="435FBF5A" w14:textId="05BB30EE" w:rsidR="00A2071D" w:rsidRDefault="00A2071D">
      <w:pPr>
        <w:pStyle w:val="TOC2"/>
        <w:rPr>
          <w:rFonts w:asciiTheme="minorHAnsi" w:eastAsiaTheme="minorEastAsia" w:hAnsiTheme="minorHAnsi" w:cstheme="minorBidi"/>
          <w:kern w:val="2"/>
          <w:sz w:val="24"/>
          <w:szCs w:val="24"/>
          <w:lang w:eastAsia="en-US"/>
          <w14:ligatures w14:val="standardContextual"/>
        </w:rPr>
      </w:pPr>
      <w:hyperlink w:anchor="_Toc212405531" w:history="1">
        <w:r w:rsidRPr="00041F42">
          <w:rPr>
            <w:rStyle w:val="Hyperlink"/>
            <w:rFonts w:eastAsia="IBM Plex Sans"/>
          </w:rPr>
          <w:t>1.3</w:t>
        </w:r>
        <w:r>
          <w:rPr>
            <w:rFonts w:asciiTheme="minorHAnsi" w:eastAsiaTheme="minorEastAsia" w:hAnsiTheme="minorHAnsi" w:cstheme="minorBidi"/>
            <w:kern w:val="2"/>
            <w:sz w:val="24"/>
            <w:szCs w:val="24"/>
            <w:lang w:eastAsia="en-US"/>
            <w14:ligatures w14:val="standardContextual"/>
          </w:rPr>
          <w:tab/>
        </w:r>
        <w:r w:rsidRPr="00041F42">
          <w:rPr>
            <w:rStyle w:val="Hyperlink"/>
            <w:rFonts w:eastAsia="IBM Plex Sans"/>
          </w:rPr>
          <w:t>Strategic Partnership for System Governance and Oversight</w:t>
        </w:r>
        <w:r>
          <w:rPr>
            <w:webHidden/>
          </w:rPr>
          <w:tab/>
        </w:r>
        <w:r>
          <w:rPr>
            <w:webHidden/>
          </w:rPr>
          <w:fldChar w:fldCharType="begin"/>
        </w:r>
        <w:r>
          <w:rPr>
            <w:webHidden/>
          </w:rPr>
          <w:instrText xml:space="preserve"> PAGEREF _Toc212405531 \h </w:instrText>
        </w:r>
        <w:r>
          <w:rPr>
            <w:webHidden/>
          </w:rPr>
        </w:r>
        <w:r>
          <w:rPr>
            <w:webHidden/>
          </w:rPr>
          <w:fldChar w:fldCharType="separate"/>
        </w:r>
        <w:r w:rsidR="000F0685">
          <w:rPr>
            <w:webHidden/>
          </w:rPr>
          <w:t>4</w:t>
        </w:r>
        <w:r>
          <w:rPr>
            <w:webHidden/>
          </w:rPr>
          <w:fldChar w:fldCharType="end"/>
        </w:r>
      </w:hyperlink>
    </w:p>
    <w:p w14:paraId="4B3CBA82" w14:textId="29E579C9" w:rsidR="00A2071D" w:rsidRDefault="00A2071D">
      <w:pPr>
        <w:pStyle w:val="TOC2"/>
        <w:rPr>
          <w:rFonts w:asciiTheme="minorHAnsi" w:eastAsiaTheme="minorEastAsia" w:hAnsiTheme="minorHAnsi" w:cstheme="minorBidi"/>
          <w:kern w:val="2"/>
          <w:sz w:val="24"/>
          <w:szCs w:val="24"/>
          <w:lang w:eastAsia="en-US"/>
          <w14:ligatures w14:val="standardContextual"/>
        </w:rPr>
      </w:pPr>
      <w:hyperlink w:anchor="_Toc212405532" w:history="1">
        <w:r w:rsidRPr="00041F42">
          <w:rPr>
            <w:rStyle w:val="Hyperlink"/>
            <w:rFonts w:eastAsia="IBM Plex Sans"/>
          </w:rPr>
          <w:t>1.4</w:t>
        </w:r>
        <w:r>
          <w:rPr>
            <w:rFonts w:asciiTheme="minorHAnsi" w:eastAsiaTheme="minorEastAsia" w:hAnsiTheme="minorHAnsi" w:cstheme="minorBidi"/>
            <w:kern w:val="2"/>
            <w:sz w:val="24"/>
            <w:szCs w:val="24"/>
            <w:lang w:eastAsia="en-US"/>
            <w14:ligatures w14:val="standardContextual"/>
          </w:rPr>
          <w:tab/>
        </w:r>
        <w:r w:rsidRPr="00041F42">
          <w:rPr>
            <w:rStyle w:val="Hyperlink"/>
            <w:rFonts w:eastAsia="IBM Plex Sans"/>
          </w:rPr>
          <w:t>QA Team Built on Understanding, Success, and Collaboration Ready for Day 1</w:t>
        </w:r>
        <w:r>
          <w:rPr>
            <w:webHidden/>
          </w:rPr>
          <w:tab/>
        </w:r>
        <w:r>
          <w:rPr>
            <w:webHidden/>
          </w:rPr>
          <w:fldChar w:fldCharType="begin"/>
        </w:r>
        <w:r>
          <w:rPr>
            <w:webHidden/>
          </w:rPr>
          <w:instrText xml:space="preserve"> PAGEREF _Toc212405532 \h </w:instrText>
        </w:r>
        <w:r>
          <w:rPr>
            <w:webHidden/>
          </w:rPr>
        </w:r>
        <w:r>
          <w:rPr>
            <w:webHidden/>
          </w:rPr>
          <w:fldChar w:fldCharType="separate"/>
        </w:r>
        <w:r w:rsidR="000F0685">
          <w:rPr>
            <w:webHidden/>
          </w:rPr>
          <w:t>4</w:t>
        </w:r>
        <w:r>
          <w:rPr>
            <w:webHidden/>
          </w:rPr>
          <w:fldChar w:fldCharType="end"/>
        </w:r>
      </w:hyperlink>
    </w:p>
    <w:p w14:paraId="73CBECC2" w14:textId="7051ABA5" w:rsidR="00A2071D" w:rsidRDefault="00A2071D">
      <w:pPr>
        <w:pStyle w:val="TOC2"/>
        <w:rPr>
          <w:rFonts w:asciiTheme="minorHAnsi" w:eastAsiaTheme="minorEastAsia" w:hAnsiTheme="minorHAnsi" w:cstheme="minorBidi"/>
          <w:kern w:val="2"/>
          <w:sz w:val="24"/>
          <w:szCs w:val="24"/>
          <w:lang w:eastAsia="en-US"/>
          <w14:ligatures w14:val="standardContextual"/>
        </w:rPr>
      </w:pPr>
      <w:hyperlink w:anchor="_Toc212405533" w:history="1">
        <w:r w:rsidRPr="00041F42">
          <w:rPr>
            <w:rStyle w:val="Hyperlink"/>
            <w:rFonts w:eastAsia="IBM Plex Sans"/>
          </w:rPr>
          <w:t>1.5</w:t>
        </w:r>
        <w:r>
          <w:rPr>
            <w:rFonts w:asciiTheme="minorHAnsi" w:eastAsiaTheme="minorEastAsia" w:hAnsiTheme="minorHAnsi" w:cstheme="minorBidi"/>
            <w:kern w:val="2"/>
            <w:sz w:val="24"/>
            <w:szCs w:val="24"/>
            <w:lang w:eastAsia="en-US"/>
            <w14:ligatures w14:val="standardContextual"/>
          </w:rPr>
          <w:tab/>
        </w:r>
        <w:r w:rsidRPr="00041F42">
          <w:rPr>
            <w:rStyle w:val="Hyperlink"/>
            <w:rFonts w:eastAsia="IBM Plex Sans"/>
          </w:rPr>
          <w:t>Partnership-Based Approach Beneficial to the Consortium Setting IBM Apart from Others</w:t>
        </w:r>
        <w:r>
          <w:rPr>
            <w:webHidden/>
          </w:rPr>
          <w:tab/>
        </w:r>
        <w:r>
          <w:rPr>
            <w:webHidden/>
          </w:rPr>
          <w:fldChar w:fldCharType="begin"/>
        </w:r>
        <w:r>
          <w:rPr>
            <w:webHidden/>
          </w:rPr>
          <w:instrText xml:space="preserve"> PAGEREF _Toc212405533 \h </w:instrText>
        </w:r>
        <w:r>
          <w:rPr>
            <w:webHidden/>
          </w:rPr>
        </w:r>
        <w:r>
          <w:rPr>
            <w:webHidden/>
          </w:rPr>
          <w:fldChar w:fldCharType="separate"/>
        </w:r>
        <w:r w:rsidR="000F0685">
          <w:rPr>
            <w:webHidden/>
          </w:rPr>
          <w:t>6</w:t>
        </w:r>
        <w:r>
          <w:rPr>
            <w:webHidden/>
          </w:rPr>
          <w:fldChar w:fldCharType="end"/>
        </w:r>
      </w:hyperlink>
    </w:p>
    <w:p w14:paraId="7146BF04" w14:textId="1EECD2C8" w:rsidR="00A2071D" w:rsidRDefault="00A2071D">
      <w:pPr>
        <w:pStyle w:val="TOC2"/>
        <w:rPr>
          <w:rFonts w:asciiTheme="minorHAnsi" w:eastAsiaTheme="minorEastAsia" w:hAnsiTheme="minorHAnsi" w:cstheme="minorBidi"/>
          <w:kern w:val="2"/>
          <w:sz w:val="24"/>
          <w:szCs w:val="24"/>
          <w:lang w:eastAsia="en-US"/>
          <w14:ligatures w14:val="standardContextual"/>
        </w:rPr>
      </w:pPr>
      <w:hyperlink w:anchor="_Toc212405534" w:history="1">
        <w:r w:rsidRPr="00041F42">
          <w:rPr>
            <w:rStyle w:val="Hyperlink"/>
            <w:rFonts w:eastAsia="IBM Plex Sans"/>
          </w:rPr>
          <w:t>1.6</w:t>
        </w:r>
        <w:r>
          <w:rPr>
            <w:rFonts w:asciiTheme="minorHAnsi" w:eastAsiaTheme="minorEastAsia" w:hAnsiTheme="minorHAnsi" w:cstheme="minorBidi"/>
            <w:kern w:val="2"/>
            <w:sz w:val="24"/>
            <w:szCs w:val="24"/>
            <w:lang w:eastAsia="en-US"/>
            <w14:ligatures w14:val="standardContextual"/>
          </w:rPr>
          <w:tab/>
        </w:r>
        <w:r w:rsidRPr="00041F42">
          <w:rPr>
            <w:rStyle w:val="Hyperlink"/>
            <w:rFonts w:eastAsia="IBM Plex Sans"/>
          </w:rPr>
          <w:t>Ability to Effectively Coordinate across a Multi-Vendor Environment</w:t>
        </w:r>
        <w:r>
          <w:rPr>
            <w:webHidden/>
          </w:rPr>
          <w:tab/>
        </w:r>
        <w:r>
          <w:rPr>
            <w:webHidden/>
          </w:rPr>
          <w:fldChar w:fldCharType="begin"/>
        </w:r>
        <w:r>
          <w:rPr>
            <w:webHidden/>
          </w:rPr>
          <w:instrText xml:space="preserve"> PAGEREF _Toc212405534 \h </w:instrText>
        </w:r>
        <w:r>
          <w:rPr>
            <w:webHidden/>
          </w:rPr>
        </w:r>
        <w:r>
          <w:rPr>
            <w:webHidden/>
          </w:rPr>
          <w:fldChar w:fldCharType="separate"/>
        </w:r>
        <w:r w:rsidR="000F0685">
          <w:rPr>
            <w:webHidden/>
          </w:rPr>
          <w:t>6</w:t>
        </w:r>
        <w:r>
          <w:rPr>
            <w:webHidden/>
          </w:rPr>
          <w:fldChar w:fldCharType="end"/>
        </w:r>
      </w:hyperlink>
    </w:p>
    <w:p w14:paraId="421AF610" w14:textId="1D76D81E" w:rsidR="00A2071D" w:rsidRDefault="00A2071D">
      <w:pPr>
        <w:pStyle w:val="TOC2"/>
        <w:rPr>
          <w:rFonts w:asciiTheme="minorHAnsi" w:eastAsiaTheme="minorEastAsia" w:hAnsiTheme="minorHAnsi" w:cstheme="minorBidi"/>
          <w:kern w:val="2"/>
          <w:sz w:val="24"/>
          <w:szCs w:val="24"/>
          <w:lang w:eastAsia="en-US"/>
          <w14:ligatures w14:val="standardContextual"/>
        </w:rPr>
      </w:pPr>
      <w:hyperlink w:anchor="_Toc212405535" w:history="1">
        <w:r w:rsidRPr="00041F42">
          <w:rPr>
            <w:rStyle w:val="Hyperlink"/>
            <w:rFonts w:eastAsia="IBM Plex Sans"/>
          </w:rPr>
          <w:t>1.7</w:t>
        </w:r>
        <w:r>
          <w:rPr>
            <w:rFonts w:asciiTheme="minorHAnsi" w:eastAsiaTheme="minorEastAsia" w:hAnsiTheme="minorHAnsi" w:cstheme="minorBidi"/>
            <w:kern w:val="2"/>
            <w:sz w:val="24"/>
            <w:szCs w:val="24"/>
            <w:lang w:eastAsia="en-US"/>
            <w14:ligatures w14:val="standardContextual"/>
          </w:rPr>
          <w:tab/>
        </w:r>
        <w:r w:rsidRPr="00041F42">
          <w:rPr>
            <w:rStyle w:val="Hyperlink"/>
            <w:rFonts w:eastAsia="IBM Plex Sans"/>
          </w:rPr>
          <w:t>Proactive Quality Approach Built into the CalSAWS SDLC Lifecycle</w:t>
        </w:r>
        <w:r>
          <w:rPr>
            <w:webHidden/>
          </w:rPr>
          <w:tab/>
        </w:r>
        <w:r>
          <w:rPr>
            <w:webHidden/>
          </w:rPr>
          <w:fldChar w:fldCharType="begin"/>
        </w:r>
        <w:r>
          <w:rPr>
            <w:webHidden/>
          </w:rPr>
          <w:instrText xml:space="preserve"> PAGEREF _Toc212405535 \h </w:instrText>
        </w:r>
        <w:r>
          <w:rPr>
            <w:webHidden/>
          </w:rPr>
        </w:r>
        <w:r>
          <w:rPr>
            <w:webHidden/>
          </w:rPr>
          <w:fldChar w:fldCharType="separate"/>
        </w:r>
        <w:r w:rsidR="000F0685">
          <w:rPr>
            <w:webHidden/>
          </w:rPr>
          <w:t>7</w:t>
        </w:r>
        <w:r>
          <w:rPr>
            <w:webHidden/>
          </w:rPr>
          <w:fldChar w:fldCharType="end"/>
        </w:r>
      </w:hyperlink>
    </w:p>
    <w:p w14:paraId="1F5E9629" w14:textId="0A060314" w:rsidR="00A2071D" w:rsidRDefault="00A2071D">
      <w:pPr>
        <w:pStyle w:val="TOC2"/>
        <w:rPr>
          <w:rFonts w:asciiTheme="minorHAnsi" w:eastAsiaTheme="minorEastAsia" w:hAnsiTheme="minorHAnsi" w:cstheme="minorBidi"/>
          <w:kern w:val="2"/>
          <w:sz w:val="24"/>
          <w:szCs w:val="24"/>
          <w:lang w:eastAsia="en-US"/>
          <w14:ligatures w14:val="standardContextual"/>
        </w:rPr>
      </w:pPr>
      <w:hyperlink w:anchor="_Toc212405536" w:history="1">
        <w:r w:rsidRPr="00041F42">
          <w:rPr>
            <w:rStyle w:val="Hyperlink"/>
            <w:rFonts w:eastAsia="IBM Plex Sans"/>
          </w:rPr>
          <w:t>1.8</w:t>
        </w:r>
        <w:r>
          <w:rPr>
            <w:rFonts w:asciiTheme="minorHAnsi" w:eastAsiaTheme="minorEastAsia" w:hAnsiTheme="minorHAnsi" w:cstheme="minorBidi"/>
            <w:kern w:val="2"/>
            <w:sz w:val="24"/>
            <w:szCs w:val="24"/>
            <w:lang w:eastAsia="en-US"/>
            <w14:ligatures w14:val="standardContextual"/>
          </w:rPr>
          <w:tab/>
        </w:r>
        <w:r w:rsidRPr="00041F42">
          <w:rPr>
            <w:rStyle w:val="Hyperlink"/>
            <w:rFonts w:eastAsia="IBM Plex Sans"/>
          </w:rPr>
          <w:t>Proven Independent Test Methodologies and Management Across Entire IT Ecosystems</w:t>
        </w:r>
        <w:r>
          <w:rPr>
            <w:webHidden/>
          </w:rPr>
          <w:tab/>
        </w:r>
        <w:r>
          <w:rPr>
            <w:webHidden/>
          </w:rPr>
          <w:fldChar w:fldCharType="begin"/>
        </w:r>
        <w:r>
          <w:rPr>
            <w:webHidden/>
          </w:rPr>
          <w:instrText xml:space="preserve"> PAGEREF _Toc212405536 \h </w:instrText>
        </w:r>
        <w:r>
          <w:rPr>
            <w:webHidden/>
          </w:rPr>
        </w:r>
        <w:r>
          <w:rPr>
            <w:webHidden/>
          </w:rPr>
          <w:fldChar w:fldCharType="separate"/>
        </w:r>
        <w:r w:rsidR="000F0685">
          <w:rPr>
            <w:webHidden/>
          </w:rPr>
          <w:t>7</w:t>
        </w:r>
        <w:r>
          <w:rPr>
            <w:webHidden/>
          </w:rPr>
          <w:fldChar w:fldCharType="end"/>
        </w:r>
      </w:hyperlink>
    </w:p>
    <w:p w14:paraId="0AB36E47" w14:textId="5191402D" w:rsidR="00A2071D" w:rsidRDefault="00A2071D">
      <w:pPr>
        <w:pStyle w:val="TOC2"/>
        <w:rPr>
          <w:rFonts w:asciiTheme="minorHAnsi" w:eastAsiaTheme="minorEastAsia" w:hAnsiTheme="minorHAnsi" w:cstheme="minorBidi"/>
          <w:kern w:val="2"/>
          <w:sz w:val="24"/>
          <w:szCs w:val="24"/>
          <w:lang w:eastAsia="en-US"/>
          <w14:ligatures w14:val="standardContextual"/>
        </w:rPr>
      </w:pPr>
      <w:hyperlink w:anchor="_Toc212405537" w:history="1">
        <w:r w:rsidRPr="00041F42">
          <w:rPr>
            <w:rStyle w:val="Hyperlink"/>
            <w:rFonts w:eastAsia="IBM Plex Sans"/>
          </w:rPr>
          <w:t>1.9</w:t>
        </w:r>
        <w:r>
          <w:rPr>
            <w:rFonts w:asciiTheme="minorHAnsi" w:eastAsiaTheme="minorEastAsia" w:hAnsiTheme="minorHAnsi" w:cstheme="minorBidi"/>
            <w:kern w:val="2"/>
            <w:sz w:val="24"/>
            <w:szCs w:val="24"/>
            <w:lang w:eastAsia="en-US"/>
            <w14:ligatures w14:val="standardContextual"/>
          </w:rPr>
          <w:tab/>
        </w:r>
        <w:r w:rsidRPr="00041F42">
          <w:rPr>
            <w:rStyle w:val="Hyperlink"/>
            <w:rFonts w:eastAsia="IBM Plex Sans"/>
          </w:rPr>
          <w:t>Delivery Excellence for Mission-Critical Systems</w:t>
        </w:r>
        <w:r>
          <w:rPr>
            <w:webHidden/>
          </w:rPr>
          <w:tab/>
        </w:r>
        <w:r>
          <w:rPr>
            <w:webHidden/>
          </w:rPr>
          <w:fldChar w:fldCharType="begin"/>
        </w:r>
        <w:r>
          <w:rPr>
            <w:webHidden/>
          </w:rPr>
          <w:instrText xml:space="preserve"> PAGEREF _Toc212405537 \h </w:instrText>
        </w:r>
        <w:r>
          <w:rPr>
            <w:webHidden/>
          </w:rPr>
        </w:r>
        <w:r>
          <w:rPr>
            <w:webHidden/>
          </w:rPr>
          <w:fldChar w:fldCharType="separate"/>
        </w:r>
        <w:r w:rsidR="000F0685">
          <w:rPr>
            <w:webHidden/>
          </w:rPr>
          <w:t>8</w:t>
        </w:r>
        <w:r>
          <w:rPr>
            <w:webHidden/>
          </w:rPr>
          <w:fldChar w:fldCharType="end"/>
        </w:r>
      </w:hyperlink>
    </w:p>
    <w:p w14:paraId="209A42EE" w14:textId="619D34A4" w:rsidR="00A2071D" w:rsidRDefault="00A2071D">
      <w:pPr>
        <w:pStyle w:val="TOC2"/>
        <w:tabs>
          <w:tab w:val="left" w:pos="1077"/>
        </w:tabs>
        <w:rPr>
          <w:rFonts w:asciiTheme="minorHAnsi" w:eastAsiaTheme="minorEastAsia" w:hAnsiTheme="minorHAnsi" w:cstheme="minorBidi"/>
          <w:kern w:val="2"/>
          <w:sz w:val="24"/>
          <w:szCs w:val="24"/>
          <w:lang w:eastAsia="en-US"/>
          <w14:ligatures w14:val="standardContextual"/>
        </w:rPr>
      </w:pPr>
      <w:hyperlink w:anchor="_Toc212405538" w:history="1">
        <w:r w:rsidRPr="00041F42">
          <w:rPr>
            <w:rStyle w:val="Hyperlink"/>
            <w:rFonts w:eastAsia="IBM Plex Sans"/>
          </w:rPr>
          <w:t>1.10</w:t>
        </w:r>
        <w:r>
          <w:rPr>
            <w:rFonts w:asciiTheme="minorHAnsi" w:eastAsiaTheme="minorEastAsia" w:hAnsiTheme="minorHAnsi" w:cstheme="minorBidi"/>
            <w:kern w:val="2"/>
            <w:sz w:val="24"/>
            <w:szCs w:val="24"/>
            <w:lang w:eastAsia="en-US"/>
            <w14:ligatures w14:val="standardContextual"/>
          </w:rPr>
          <w:tab/>
        </w:r>
        <w:r w:rsidRPr="00041F42">
          <w:rPr>
            <w:rStyle w:val="Hyperlink"/>
            <w:rFonts w:eastAsia="IBM Plex Sans"/>
          </w:rPr>
          <w:t>Cross-Industry Expertise and Scalable Solutions</w:t>
        </w:r>
        <w:r>
          <w:rPr>
            <w:webHidden/>
          </w:rPr>
          <w:tab/>
        </w:r>
        <w:r>
          <w:rPr>
            <w:webHidden/>
          </w:rPr>
          <w:fldChar w:fldCharType="begin"/>
        </w:r>
        <w:r>
          <w:rPr>
            <w:webHidden/>
          </w:rPr>
          <w:instrText xml:space="preserve"> PAGEREF _Toc212405538 \h </w:instrText>
        </w:r>
        <w:r>
          <w:rPr>
            <w:webHidden/>
          </w:rPr>
        </w:r>
        <w:r>
          <w:rPr>
            <w:webHidden/>
          </w:rPr>
          <w:fldChar w:fldCharType="separate"/>
        </w:r>
        <w:r w:rsidR="000F0685">
          <w:rPr>
            <w:webHidden/>
          </w:rPr>
          <w:t>8</w:t>
        </w:r>
        <w:r>
          <w:rPr>
            <w:webHidden/>
          </w:rPr>
          <w:fldChar w:fldCharType="end"/>
        </w:r>
      </w:hyperlink>
    </w:p>
    <w:p w14:paraId="59067396" w14:textId="09419EAE" w:rsidR="00A2071D" w:rsidRDefault="00A2071D">
      <w:pPr>
        <w:pStyle w:val="TOC2"/>
        <w:tabs>
          <w:tab w:val="left" w:pos="1077"/>
        </w:tabs>
        <w:rPr>
          <w:rFonts w:asciiTheme="minorHAnsi" w:eastAsiaTheme="minorEastAsia" w:hAnsiTheme="minorHAnsi" w:cstheme="minorBidi"/>
          <w:kern w:val="2"/>
          <w:sz w:val="24"/>
          <w:szCs w:val="24"/>
          <w:lang w:eastAsia="en-US"/>
          <w14:ligatures w14:val="standardContextual"/>
        </w:rPr>
      </w:pPr>
      <w:hyperlink w:anchor="_Toc212405539" w:history="1">
        <w:r w:rsidRPr="00041F42">
          <w:rPr>
            <w:rStyle w:val="Hyperlink"/>
            <w:rFonts w:eastAsia="IBM Plex Sans"/>
          </w:rPr>
          <w:t>1.11</w:t>
        </w:r>
        <w:r>
          <w:rPr>
            <w:rFonts w:asciiTheme="minorHAnsi" w:eastAsiaTheme="minorEastAsia" w:hAnsiTheme="minorHAnsi" w:cstheme="minorBidi"/>
            <w:kern w:val="2"/>
            <w:sz w:val="24"/>
            <w:szCs w:val="24"/>
            <w:lang w:eastAsia="en-US"/>
            <w14:ligatures w14:val="standardContextual"/>
          </w:rPr>
          <w:tab/>
        </w:r>
        <w:r w:rsidRPr="00041F42">
          <w:rPr>
            <w:rStyle w:val="Hyperlink"/>
            <w:rFonts w:eastAsia="IBM Plex Sans"/>
          </w:rPr>
          <w:t>Conclusion</w:t>
        </w:r>
        <w:r>
          <w:rPr>
            <w:webHidden/>
          </w:rPr>
          <w:tab/>
        </w:r>
        <w:r>
          <w:rPr>
            <w:webHidden/>
          </w:rPr>
          <w:fldChar w:fldCharType="begin"/>
        </w:r>
        <w:r>
          <w:rPr>
            <w:webHidden/>
          </w:rPr>
          <w:instrText xml:space="preserve"> PAGEREF _Toc212405539 \h </w:instrText>
        </w:r>
        <w:r>
          <w:rPr>
            <w:webHidden/>
          </w:rPr>
        </w:r>
        <w:r>
          <w:rPr>
            <w:webHidden/>
          </w:rPr>
          <w:fldChar w:fldCharType="separate"/>
        </w:r>
        <w:r w:rsidR="000F0685">
          <w:rPr>
            <w:webHidden/>
          </w:rPr>
          <w:t>8</w:t>
        </w:r>
        <w:r>
          <w:rPr>
            <w:webHidden/>
          </w:rPr>
          <w:fldChar w:fldCharType="end"/>
        </w:r>
      </w:hyperlink>
    </w:p>
    <w:p w14:paraId="7428AD0A" w14:textId="678D1423" w:rsidR="00CB3659" w:rsidRDefault="00D41F62" w:rsidP="00A56FE9">
      <w:pPr>
        <w:pStyle w:val="CS-IBMResponseText"/>
      </w:pPr>
      <w:r>
        <w:rPr>
          <w:rFonts w:ascii="Arial Bold" w:hAnsi="Arial Bold"/>
          <w:noProof/>
          <w:color w:val="106288"/>
          <w:szCs w:val="24"/>
        </w:rPr>
        <w:fldChar w:fldCharType="end"/>
      </w:r>
    </w:p>
    <w:p w14:paraId="57834401" w14:textId="77777777" w:rsidR="008C133D" w:rsidRDefault="008C133D" w:rsidP="00A56FE9">
      <w:pPr>
        <w:pStyle w:val="CS-IBMResponseText"/>
      </w:pPr>
    </w:p>
    <w:p w14:paraId="6A0BDB2D" w14:textId="77777777" w:rsidR="00E6341D" w:rsidRPr="00E6341D" w:rsidRDefault="00E6341D" w:rsidP="00E6341D"/>
    <w:p w14:paraId="63E43964" w14:textId="77777777" w:rsidR="00E6341D" w:rsidRDefault="00E6341D" w:rsidP="00E6341D"/>
    <w:p w14:paraId="457AAEAF" w14:textId="77777777" w:rsidR="00D85D89" w:rsidRDefault="00D85D89" w:rsidP="00E6341D"/>
    <w:p w14:paraId="363FA0D0" w14:textId="77777777" w:rsidR="008C133D" w:rsidRDefault="008C133D" w:rsidP="00A56FE9">
      <w:pPr>
        <w:pStyle w:val="CS-IBMResponseText"/>
      </w:pPr>
    </w:p>
    <w:p w14:paraId="42090B8D" w14:textId="77777777" w:rsidR="008C133D" w:rsidRDefault="008C133D" w:rsidP="00A56FE9">
      <w:pPr>
        <w:pStyle w:val="CS-IBMResponseText"/>
      </w:pPr>
    </w:p>
    <w:p w14:paraId="700CFEB4" w14:textId="77777777" w:rsidR="008C133D" w:rsidRDefault="008C133D" w:rsidP="00A56FE9">
      <w:pPr>
        <w:pStyle w:val="CS-IBMResponseText"/>
      </w:pPr>
    </w:p>
    <w:p w14:paraId="3D944177" w14:textId="77777777" w:rsidR="008C133D" w:rsidRDefault="008C133D" w:rsidP="00A56FE9">
      <w:pPr>
        <w:pStyle w:val="CS-IBMResponseText"/>
      </w:pPr>
    </w:p>
    <w:p w14:paraId="7BA058A7" w14:textId="77777777" w:rsidR="008C133D" w:rsidRDefault="008C133D" w:rsidP="00A56FE9">
      <w:pPr>
        <w:pStyle w:val="CS-IBMResponseText"/>
      </w:pPr>
    </w:p>
    <w:p w14:paraId="51760A7C" w14:textId="77777777" w:rsidR="008C133D" w:rsidRPr="00E6341D" w:rsidRDefault="008C133D" w:rsidP="00A56FE9">
      <w:pPr>
        <w:pStyle w:val="CS-IBMResponseText"/>
      </w:pPr>
    </w:p>
    <w:p w14:paraId="387D0ECA" w14:textId="77777777" w:rsidR="00E6341D" w:rsidRDefault="00E6341D" w:rsidP="00E6341D"/>
    <w:p w14:paraId="30AD29C2" w14:textId="77777777" w:rsidR="00405EF5" w:rsidRDefault="00405EF5" w:rsidP="00A56FE9">
      <w:pPr>
        <w:pStyle w:val="CS-IBMResponseText"/>
      </w:pPr>
      <w:bookmarkStart w:id="0" w:name="_Toc350169568"/>
    </w:p>
    <w:p w14:paraId="7E27D12A" w14:textId="77777777" w:rsidR="00405EF5" w:rsidRDefault="00405EF5" w:rsidP="00A56FE9">
      <w:pPr>
        <w:pStyle w:val="CS-IBMResponseText"/>
      </w:pPr>
    </w:p>
    <w:p w14:paraId="5890225B" w14:textId="77777777" w:rsidR="00405EF5" w:rsidRDefault="00405EF5" w:rsidP="00A56FE9">
      <w:pPr>
        <w:pStyle w:val="CS-IBMResponseText"/>
      </w:pPr>
    </w:p>
    <w:p w14:paraId="2C82DEB1" w14:textId="77777777" w:rsidR="00405EF5" w:rsidRDefault="00405EF5" w:rsidP="00A56FE9">
      <w:pPr>
        <w:pStyle w:val="CS-IBMResponseText"/>
        <w:sectPr w:rsidR="00405EF5" w:rsidSect="00E948FB">
          <w:headerReference w:type="default" r:id="rId8"/>
          <w:footerReference w:type="default" r:id="rId9"/>
          <w:pgSz w:w="12240" w:h="15840" w:code="1"/>
          <w:pgMar w:top="1323" w:right="1440" w:bottom="1197" w:left="1440" w:header="504" w:footer="423" w:gutter="0"/>
          <w:pgNumType w:fmt="lowerRoman" w:start="1"/>
          <w:cols w:space="708"/>
          <w:docGrid w:linePitch="360"/>
        </w:sectPr>
      </w:pPr>
    </w:p>
    <w:p w14:paraId="33A5F9C7" w14:textId="70865F96" w:rsidR="00DC37F6" w:rsidRDefault="00664479" w:rsidP="00664479">
      <w:pPr>
        <w:pStyle w:val="Heading1"/>
        <w:numPr>
          <w:ilvl w:val="0"/>
          <w:numId w:val="0"/>
        </w:numPr>
        <w:ind w:left="432" w:hanging="432"/>
        <w:jc w:val="left"/>
      </w:pPr>
      <w:bookmarkStart w:id="1" w:name="_Toc212405528"/>
      <w:bookmarkEnd w:id="0"/>
      <w:r>
        <w:lastRenderedPageBreak/>
        <w:t xml:space="preserve">Section 1 - </w:t>
      </w:r>
      <w:r w:rsidR="00DC37F6" w:rsidRPr="00E9023B">
        <w:t xml:space="preserve">Executive </w:t>
      </w:r>
      <w:r w:rsidR="00DC37F6" w:rsidRPr="001D3E33">
        <w:t>Summary</w:t>
      </w:r>
      <w:bookmarkEnd w:id="1"/>
    </w:p>
    <w:p w14:paraId="572D9602" w14:textId="77777777" w:rsidR="00583294" w:rsidRDefault="00583294" w:rsidP="00583294">
      <w:pPr>
        <w:pStyle w:val="CS-RFPBodyText"/>
      </w:pPr>
      <w:r>
        <w:t>The Executive Summary shall condense and highlight the contents of the Business Proposal in such a way as to provide a broad understanding of the Business Proposal. The primary objective of this summary is to provide an overview of the key points in the P</w:t>
      </w:r>
      <w:r w:rsidRPr="00D875DC">
        <w:t>roposal. While no specific format need be followed, it should include salient and significant points and minimize highly technical terms. It should be brief and concise, not to exceed ten (10) pages.</w:t>
      </w:r>
    </w:p>
    <w:p w14:paraId="38BB9924" w14:textId="0AE0A1A6" w:rsidR="009F6CA3" w:rsidRPr="00664479" w:rsidRDefault="00583294" w:rsidP="00583294">
      <w:pPr>
        <w:pStyle w:val="CS-RFPBodyText"/>
        <w:rPr>
          <w:b/>
          <w:bCs/>
        </w:rPr>
      </w:pPr>
      <w:r w:rsidRPr="00664479">
        <w:rPr>
          <w:b/>
          <w:bCs/>
        </w:rPr>
        <w:t>The Executive Summary must not contain price information.</w:t>
      </w:r>
    </w:p>
    <w:p w14:paraId="25C64FD3" w14:textId="77777777" w:rsidR="00D875DC" w:rsidRDefault="00D875DC" w:rsidP="00D875DC">
      <w:pPr>
        <w:pStyle w:val="Heading2"/>
      </w:pPr>
      <w:bookmarkStart w:id="2" w:name="_Toc212405529"/>
      <w:r w:rsidRPr="2FF70816">
        <w:t>Introduction</w:t>
      </w:r>
      <w:bookmarkEnd w:id="2"/>
    </w:p>
    <w:p w14:paraId="43F1056E" w14:textId="77777777" w:rsidR="00D875DC" w:rsidRPr="00D1421B" w:rsidRDefault="00D875DC" w:rsidP="00D1421B">
      <w:pPr>
        <w:pStyle w:val="CS-IBMResponseText"/>
        <w:rPr>
          <w:rFonts w:eastAsia="IBM Plex Sans"/>
        </w:rPr>
      </w:pPr>
      <w:r w:rsidRPr="00D1421B">
        <w:rPr>
          <w:rFonts w:eastAsia="IBM Plex Sans"/>
        </w:rPr>
        <w:t>The California Statewide Automated Welfare System (CalSAWS) represents one of the most complex human services technology ecosystems in the nation, serving all 58 counties and nearly 40% of California’s residents.</w:t>
      </w:r>
    </w:p>
    <w:p w14:paraId="106A1425" w14:textId="77777777" w:rsidR="00D875DC" w:rsidRPr="00D1421B" w:rsidRDefault="00D875DC" w:rsidP="00D1421B">
      <w:pPr>
        <w:pStyle w:val="CS-IBMResponseText"/>
        <w:rPr>
          <w:rFonts w:eastAsia="IBM Plex Sans"/>
        </w:rPr>
      </w:pPr>
      <w:r w:rsidRPr="00D1421B">
        <w:rPr>
          <w:rFonts w:eastAsia="IBM Plex Sans"/>
        </w:rPr>
        <w:t xml:space="preserve">CalSAWS supports the delivery of multiple public assistance programs and their respective benefits — including Medi-Cal (California’s Medicaid program), CalFRESH (California’s SNAP program), CalWORKs (California’s TANF program), General Assistance, Refugee Cash Assistance, Foster </w:t>
      </w:r>
      <w:r w:rsidRPr="00D1421B">
        <w:rPr>
          <w:rFonts w:eastAsiaTheme="minorEastAsia"/>
        </w:rPr>
        <w:t>Care, and critical interfaces with CalHEERS (Covered California) and ensures that Federal, State, and local funding streams work in concert to support California’s most vulnerable residents.</w:t>
      </w:r>
    </w:p>
    <w:p w14:paraId="50939859" w14:textId="77777777" w:rsidR="00D875DC" w:rsidRPr="00D1421B" w:rsidRDefault="00D875DC" w:rsidP="00D1421B">
      <w:pPr>
        <w:pStyle w:val="CS-IBMResponseText"/>
        <w:rPr>
          <w:rFonts w:eastAsiaTheme="minorEastAsia"/>
        </w:rPr>
      </w:pPr>
      <w:r w:rsidRPr="00D1421B">
        <w:rPr>
          <w:rFonts w:eastAsiaTheme="minorEastAsia"/>
        </w:rPr>
        <w:t xml:space="preserve">The CalSAWS Consortium (Consortium) operates at the delegation of the State of California, overseen by the California Health and Human Services Agency’s Office of Technology and Solutions Integration (OTSI), who coordinate with the California Department of Social Services (CDSS) and the Department of Healthcare Services (DHCS) in the oversight of State Programs that are delegated operationally to the counties and the Consortium. The Consortium is an operational arm of the 58 California counties through the formation of the CalSAWS Joint Powers Authority (JPA), to whom the CalSAWS executive director is ultimately responsible. The Consortium provides governance, coordination, and system oversight across the 58 counties, enabling consistent service delivery by the counties while respecting local administration. </w:t>
      </w:r>
    </w:p>
    <w:p w14:paraId="49485E0E" w14:textId="5A90B344" w:rsidR="00D875DC" w:rsidRPr="00D1421B" w:rsidRDefault="00D875DC" w:rsidP="00D1421B">
      <w:pPr>
        <w:pStyle w:val="CS-IBMResponseText"/>
        <w:rPr>
          <w:rFonts w:eastAsiaTheme="minorEastAsia"/>
        </w:rPr>
      </w:pPr>
      <w:r w:rsidRPr="00D1421B">
        <w:rPr>
          <w:rFonts w:eastAsiaTheme="minorEastAsia"/>
        </w:rPr>
        <w:t xml:space="preserve">The CalSAWS Consortium integrates Federal mandates, State-level </w:t>
      </w:r>
      <w:r w:rsidR="00797858" w:rsidRPr="00D1421B">
        <w:rPr>
          <w:rFonts w:eastAsiaTheme="minorEastAsia"/>
        </w:rPr>
        <w:t>sponsorship,</w:t>
      </w:r>
      <w:r w:rsidRPr="00D1421B">
        <w:rPr>
          <w:rFonts w:eastAsiaTheme="minorEastAsia"/>
        </w:rPr>
        <w:t xml:space="preserve"> and program management by DHCS and CDSS, and county-level benefit administration into a unified system. Millions of Californians depend on the timely, accurate, and equitable delivery of public assistance benefits, and as such, a vendor working with the Consortium needs to be a partner and trusted advisor who understands the importance and critically of CalSAWS to the Consortium, counties and the residents of California.</w:t>
      </w:r>
    </w:p>
    <w:p w14:paraId="784D231D" w14:textId="09318CCE" w:rsidR="00D875DC" w:rsidRPr="00D1421B" w:rsidRDefault="00D875DC" w:rsidP="00D1421B">
      <w:pPr>
        <w:pStyle w:val="CS-IBMResponseText"/>
        <w:rPr>
          <w:rFonts w:eastAsia="IBM Plex Sans"/>
        </w:rPr>
      </w:pPr>
      <w:r w:rsidRPr="00D1421B">
        <w:rPr>
          <w:rFonts w:eastAsia="IBM Plex Sans"/>
        </w:rPr>
        <w:t xml:space="preserve">IBM is </w:t>
      </w:r>
      <w:r w:rsidR="006432C4">
        <w:rPr>
          <w:rFonts w:eastAsia="IBM Plex Sans"/>
        </w:rPr>
        <w:t>a</w:t>
      </w:r>
      <w:r w:rsidRPr="00D1421B">
        <w:rPr>
          <w:rFonts w:eastAsia="IBM Plex Sans"/>
        </w:rPr>
        <w:t xml:space="preserve"> global, world class systems integrator</w:t>
      </w:r>
      <w:r w:rsidR="006432C4">
        <w:rPr>
          <w:rFonts w:eastAsia="IBM Plex Sans"/>
        </w:rPr>
        <w:t xml:space="preserve">, </w:t>
      </w:r>
      <w:r w:rsidRPr="00D1421B">
        <w:rPr>
          <w:rFonts w:eastAsia="IBM Plex Sans"/>
        </w:rPr>
        <w:t xml:space="preserve">technology vendor and partner who brings the entire package of scale, innovation, people, processes, technology (AI/automation), world class tools, our proven QA Services methodology and approaches, </w:t>
      </w:r>
      <w:r w:rsidR="00306FD0">
        <w:rPr>
          <w:rFonts w:eastAsia="IBM Plex Sans"/>
        </w:rPr>
        <w:t xml:space="preserve">and </w:t>
      </w:r>
      <w:r w:rsidRPr="00D1421B">
        <w:rPr>
          <w:rFonts w:eastAsia="IBM Plex Sans"/>
        </w:rPr>
        <w:t>health and human services experienc</w:t>
      </w:r>
      <w:r w:rsidR="00C8635B">
        <w:rPr>
          <w:rFonts w:eastAsia="IBM Plex Sans"/>
        </w:rPr>
        <w:t xml:space="preserve">e along with a </w:t>
      </w:r>
      <w:r w:rsidRPr="00D1421B">
        <w:rPr>
          <w:rFonts w:eastAsia="IBM Plex Sans"/>
        </w:rPr>
        <w:t xml:space="preserve">collaborative, team-oriented mindset to </w:t>
      </w:r>
      <w:r w:rsidR="007F78B3">
        <w:rPr>
          <w:rFonts w:eastAsia="IBM Plex Sans"/>
        </w:rPr>
        <w:t xml:space="preserve">our </w:t>
      </w:r>
      <w:r w:rsidR="007F78B3" w:rsidRPr="00D1421B">
        <w:rPr>
          <w:rFonts w:eastAsia="IBM Plex Sans"/>
        </w:rPr>
        <w:t xml:space="preserve">partnership </w:t>
      </w:r>
      <w:r w:rsidR="007F78B3">
        <w:rPr>
          <w:rFonts w:eastAsia="IBM Plex Sans"/>
        </w:rPr>
        <w:t xml:space="preserve">with </w:t>
      </w:r>
      <w:r w:rsidRPr="00D1421B">
        <w:rPr>
          <w:rFonts w:eastAsia="IBM Plex Sans"/>
        </w:rPr>
        <w:t xml:space="preserve">the Consortium. We are responding to the CalSAWS Request for Proposal (RFP) for Quality Assurance (QA) Services because we </w:t>
      </w:r>
      <w:r w:rsidR="00F829C1">
        <w:rPr>
          <w:rFonts w:eastAsia="IBM Plex Sans"/>
        </w:rPr>
        <w:t xml:space="preserve">believe </w:t>
      </w:r>
      <w:r w:rsidR="005A2158">
        <w:rPr>
          <w:rFonts w:eastAsia="IBM Plex Sans"/>
        </w:rPr>
        <w:t xml:space="preserve">we </w:t>
      </w:r>
      <w:r w:rsidRPr="00D1421B">
        <w:rPr>
          <w:rFonts w:eastAsia="IBM Plex Sans"/>
        </w:rPr>
        <w:t>are best positioned</w:t>
      </w:r>
      <w:r w:rsidR="005A2158">
        <w:rPr>
          <w:rFonts w:eastAsia="IBM Plex Sans"/>
        </w:rPr>
        <w:t xml:space="preserve"> to help</w:t>
      </w:r>
      <w:r w:rsidRPr="00D1421B">
        <w:rPr>
          <w:rFonts w:eastAsia="IBM Plex Sans"/>
        </w:rPr>
        <w:t xml:space="preserve"> move the Consortium into the next phase of the CalSAWS journey toward providing world class services to the residents of California </w:t>
      </w:r>
      <w:r w:rsidRPr="00D1421B">
        <w:rPr>
          <w:rFonts w:eastAsia="IBM Plex Sans"/>
        </w:rPr>
        <w:lastRenderedPageBreak/>
        <w:t>and the Consortium</w:t>
      </w:r>
      <w:r w:rsidR="00797858" w:rsidRPr="00D1421B">
        <w:rPr>
          <w:rFonts w:eastAsia="IBM Plex Sans"/>
        </w:rPr>
        <w:t xml:space="preserve">. </w:t>
      </w:r>
      <w:r w:rsidRPr="00D1421B">
        <w:rPr>
          <w:rFonts w:eastAsia="IBM Plex Sans"/>
        </w:rPr>
        <w:t>IBM stands ready to be your CalSAWS QA Services partner willing and able to quickly transition, scale, and build the next phase of CalSAWS in partnership with the CalSAWS Consortium, incumbent CalSAWS vendors, the CalSAWS JPA, the 58 counties, executive sponsorship, and other key stakeholders.</w:t>
      </w:r>
    </w:p>
    <w:p w14:paraId="4248FC2E" w14:textId="0B634BA0" w:rsidR="00D875DC" w:rsidRPr="00D1421B" w:rsidRDefault="00D875DC" w:rsidP="00D1421B">
      <w:pPr>
        <w:pStyle w:val="CS-IBMResponseText"/>
        <w:rPr>
          <w:rFonts w:eastAsia="IBM Plex Sans"/>
        </w:rPr>
      </w:pPr>
      <w:r w:rsidRPr="00D1421B">
        <w:rPr>
          <w:rFonts w:eastAsia="IBM Plex Sans"/>
        </w:rPr>
        <w:t xml:space="preserve">IBM leverages its global reach within the public and private sector domains, our </w:t>
      </w:r>
      <w:proofErr w:type="gramStart"/>
      <w:r w:rsidRPr="00D1421B">
        <w:rPr>
          <w:rFonts w:eastAsia="IBM Plex Sans"/>
        </w:rPr>
        <w:t>understanding  and</w:t>
      </w:r>
      <w:proofErr w:type="gramEnd"/>
      <w:r w:rsidRPr="00D1421B">
        <w:rPr>
          <w:rFonts w:eastAsia="IBM Plex Sans"/>
        </w:rPr>
        <w:t xml:space="preserve"> experiences in health and human services, our innovation in Artificial Intelligence (AI) and automation, our ability to scale resources quickly, our methodologies and approaches</w:t>
      </w:r>
      <w:r w:rsidR="00971DEC">
        <w:rPr>
          <w:rFonts w:eastAsia="IBM Plex Sans"/>
        </w:rPr>
        <w:t>.</w:t>
      </w:r>
      <w:r w:rsidR="00B92375">
        <w:rPr>
          <w:rFonts w:eastAsia="IBM Plex Sans"/>
        </w:rPr>
        <w:t xml:space="preserve">  We have </w:t>
      </w:r>
      <w:r w:rsidRPr="00D1421B">
        <w:rPr>
          <w:rFonts w:eastAsia="IBM Plex Sans"/>
        </w:rPr>
        <w:t xml:space="preserve">familiarity and collaborative relationships with the incumbent CalSAWS vendors (Deloitte, Gainwell, </w:t>
      </w:r>
      <w:proofErr w:type="spellStart"/>
      <w:r w:rsidR="00476CEB">
        <w:rPr>
          <w:rFonts w:eastAsia="IBM Plex Sans"/>
        </w:rPr>
        <w:t>BenefitsCal</w:t>
      </w:r>
      <w:proofErr w:type="spellEnd"/>
      <w:r w:rsidR="00476CEB">
        <w:rPr>
          <w:rFonts w:eastAsia="IBM Plex Sans"/>
        </w:rPr>
        <w:t xml:space="preserve"> vendor</w:t>
      </w:r>
      <w:r w:rsidRPr="00D1421B">
        <w:rPr>
          <w:rFonts w:eastAsia="IBM Plex Sans"/>
        </w:rPr>
        <w:t>),</w:t>
      </w:r>
      <w:r w:rsidR="001A16BF">
        <w:rPr>
          <w:rFonts w:eastAsia="IBM Plex Sans"/>
        </w:rPr>
        <w:t xml:space="preserve"> have a</w:t>
      </w:r>
      <w:r w:rsidRPr="00D1421B">
        <w:rPr>
          <w:rFonts w:eastAsia="IBM Plex Sans"/>
        </w:rPr>
        <w:t xml:space="preserve"> proven quality assurance approach, and </w:t>
      </w:r>
      <w:r w:rsidR="001A16BF">
        <w:rPr>
          <w:rFonts w:eastAsia="IBM Plex Sans"/>
        </w:rPr>
        <w:t xml:space="preserve">have proposed dynamic </w:t>
      </w:r>
      <w:r w:rsidRPr="00D1421B">
        <w:rPr>
          <w:rFonts w:eastAsia="IBM Plex Sans"/>
        </w:rPr>
        <w:t>key staff and personnel, many of whom worked at CalSAWS and its predecessor systems</w:t>
      </w:r>
      <w:r w:rsidR="00A20755">
        <w:rPr>
          <w:rFonts w:eastAsia="IBM Plex Sans"/>
        </w:rPr>
        <w:t xml:space="preserve">.  </w:t>
      </w:r>
      <w:r w:rsidR="00B55939">
        <w:rPr>
          <w:rFonts w:eastAsia="IBM Plex Sans"/>
        </w:rPr>
        <w:t>IBM’s</w:t>
      </w:r>
      <w:r w:rsidR="00E57C46">
        <w:rPr>
          <w:rFonts w:eastAsia="IBM Plex Sans"/>
        </w:rPr>
        <w:t xml:space="preserve"> proposed staff have</w:t>
      </w:r>
      <w:r w:rsidRPr="00D1421B">
        <w:rPr>
          <w:rFonts w:eastAsia="IBM Plex Sans"/>
        </w:rPr>
        <w:t xml:space="preserve"> </w:t>
      </w:r>
      <w:r w:rsidR="000237BB">
        <w:rPr>
          <w:rFonts w:eastAsia="IBM Plex Sans"/>
        </w:rPr>
        <w:t xml:space="preserve">impactful Consortium </w:t>
      </w:r>
      <w:r w:rsidRPr="00D1421B">
        <w:rPr>
          <w:rFonts w:eastAsia="IBM Plex Sans"/>
        </w:rPr>
        <w:t>relationships</w:t>
      </w:r>
      <w:r w:rsidR="00E57C46">
        <w:rPr>
          <w:rFonts w:eastAsia="IBM Plex Sans"/>
        </w:rPr>
        <w:t xml:space="preserve"> </w:t>
      </w:r>
      <w:r w:rsidR="004C77A7">
        <w:rPr>
          <w:rFonts w:eastAsia="IBM Plex Sans"/>
        </w:rPr>
        <w:t>which allow</w:t>
      </w:r>
      <w:r w:rsidR="00B55939">
        <w:rPr>
          <w:rFonts w:eastAsia="IBM Plex Sans"/>
        </w:rPr>
        <w:t xml:space="preserve"> us to</w:t>
      </w:r>
      <w:r w:rsidRPr="00D1421B">
        <w:rPr>
          <w:rFonts w:eastAsia="IBM Plex Sans"/>
        </w:rPr>
        <w:t xml:space="preserve"> understand the collaborative environment of </w:t>
      </w:r>
      <w:proofErr w:type="spellStart"/>
      <w:r w:rsidRPr="00D1421B">
        <w:rPr>
          <w:rFonts w:eastAsia="IBM Plex Sans"/>
        </w:rPr>
        <w:t>CalSAWS</w:t>
      </w:r>
      <w:proofErr w:type="spellEnd"/>
      <w:r w:rsidRPr="00D1421B">
        <w:rPr>
          <w:rFonts w:eastAsia="IBM Plex Sans"/>
        </w:rPr>
        <w:t xml:space="preserve">.  </w:t>
      </w:r>
    </w:p>
    <w:p w14:paraId="04FF593D" w14:textId="41AE552A" w:rsidR="00D875DC" w:rsidRPr="00D1421B" w:rsidRDefault="00D875DC" w:rsidP="00D1421B">
      <w:pPr>
        <w:pStyle w:val="CS-IBMResponseText"/>
        <w:rPr>
          <w:rFonts w:eastAsiaTheme="minorEastAsia"/>
        </w:rPr>
      </w:pPr>
      <w:r w:rsidRPr="00D1421B">
        <w:rPr>
          <w:rFonts w:eastAsia="IBM Plex Sans"/>
        </w:rPr>
        <w:t xml:space="preserve">To be a trusted partner involves building relationships, not just bringing forth technology. Within </w:t>
      </w:r>
      <w:proofErr w:type="spellStart"/>
      <w:r w:rsidRPr="00D1421B">
        <w:rPr>
          <w:rFonts w:eastAsia="IBM Plex Sans"/>
        </w:rPr>
        <w:t>CalSAWS</w:t>
      </w:r>
      <w:proofErr w:type="spellEnd"/>
      <w:r w:rsidRPr="00D1421B">
        <w:rPr>
          <w:rFonts w:eastAsia="IBM Plex Sans"/>
        </w:rPr>
        <w:t xml:space="preserve">, </w:t>
      </w:r>
      <w:r w:rsidR="0019230E">
        <w:rPr>
          <w:rFonts w:eastAsia="IBM Plex Sans"/>
        </w:rPr>
        <w:t>IBM recognizes</w:t>
      </w:r>
      <w:r w:rsidRPr="00D1421B">
        <w:rPr>
          <w:rFonts w:eastAsia="IBM Plex Sans"/>
        </w:rPr>
        <w:t xml:space="preserve"> that the </w:t>
      </w:r>
      <w:proofErr w:type="spellStart"/>
      <w:r w:rsidRPr="00D1421B">
        <w:rPr>
          <w:rFonts w:eastAsia="IBM Plex Sans"/>
        </w:rPr>
        <w:t>CalSAWS</w:t>
      </w:r>
      <w:proofErr w:type="spellEnd"/>
      <w:r w:rsidRPr="00D1421B">
        <w:rPr>
          <w:rFonts w:eastAsia="IBM Plex Sans"/>
        </w:rPr>
        <w:t xml:space="preserve"> environment is a true collaboration amongst the CalSAWS executive team, Consortium personnel, the JPA, the counties and the incumbent CalSAWS vendors. The mission-critical services provided by The Consortium through the CalSAWS and BenefitsCal systems are required to be available, scalable, and accessible every single day in every hour. Without </w:t>
      </w:r>
      <w:r w:rsidR="00DA3B22" w:rsidRPr="00D1421B">
        <w:rPr>
          <w:rFonts w:eastAsia="IBM Plex Sans"/>
        </w:rPr>
        <w:t>full</w:t>
      </w:r>
      <w:r w:rsidRPr="00D1421B">
        <w:rPr>
          <w:rFonts w:eastAsia="IBM Plex Sans"/>
        </w:rPr>
        <w:t xml:space="preserve"> collaboration, open communication, full transparency, and honest and candid analysis and feedback, any technology, no matter how good, would not live up to its potential. It is imperative to have a vendor who not only brings the best in personnel, process, and technology, but also the right skillsets to work side-by-side to operate and innovate in the CalSAWS ecosystem.</w:t>
      </w:r>
    </w:p>
    <w:p w14:paraId="530F3B8C" w14:textId="2AD58EAC" w:rsidR="00D875DC" w:rsidRPr="00D1421B" w:rsidRDefault="00D875DC" w:rsidP="00D1421B">
      <w:pPr>
        <w:pStyle w:val="CS-IBMResponseText"/>
        <w:rPr>
          <w:rFonts w:eastAsia="IBM Plex Sans"/>
        </w:rPr>
      </w:pPr>
      <w:r w:rsidRPr="00D1421B">
        <w:rPr>
          <w:rFonts w:eastAsia="IBM Plex Sans"/>
        </w:rPr>
        <w:t xml:space="preserve">As part of this response to the CalSAWS QA Services RFP, IBM demonstrates our full commitment and desire to be the right partner and work side-by-side with the Consortium and CalSAWS incumbent vendors. We deliver the right staffing approach that is stable, flexible, innovative, and future-ready, along with the right mix of personnel familiar with, and who understands CalSAWS. We bring forth technical experts who can innovate and continue to improve CalSAWS. We know how to scale and bring forth qualified personnel able to work independently but also work in collaboration and seamlessly integrate in a multi-vendor environment that includes Consortium personnel, incumbent CalSAWS vendors (Deloitte, Gainwell, and </w:t>
      </w:r>
      <w:r w:rsidR="00476CEB">
        <w:rPr>
          <w:rFonts w:eastAsia="IBM Plex Sans"/>
        </w:rPr>
        <w:t>BenefitsCal vendor</w:t>
      </w:r>
      <w:r w:rsidRPr="00D1421B">
        <w:rPr>
          <w:rFonts w:eastAsia="IBM Plex Sans"/>
        </w:rPr>
        <w:t xml:space="preserve">), CalSAWS executives and executive sponsors, the counties, and other stakeholders. We bring an innovative, productive, and trusted advisor mindset to the Consortium. Innovation includes areas like AI and </w:t>
      </w:r>
      <w:r w:rsidR="0004252C" w:rsidRPr="00D1421B">
        <w:rPr>
          <w:rFonts w:eastAsia="IBM Plex Sans"/>
        </w:rPr>
        <w:t>automation,</w:t>
      </w:r>
      <w:r w:rsidRPr="00D1421B">
        <w:rPr>
          <w:rFonts w:eastAsia="IBM Plex Sans"/>
        </w:rPr>
        <w:t xml:space="preserve"> and other cutting-edge technologies no other vendor can provide – resulting in improved productivity and timely delivery of system releases and services, quality </w:t>
      </w:r>
      <w:r w:rsidR="00797858" w:rsidRPr="00D1421B">
        <w:rPr>
          <w:rFonts w:eastAsia="IBM Plex Sans"/>
        </w:rPr>
        <w:t>assurance,</w:t>
      </w:r>
      <w:r w:rsidRPr="00D1421B">
        <w:rPr>
          <w:rFonts w:eastAsia="IBM Plex Sans"/>
        </w:rPr>
        <w:t xml:space="preserve"> and project management services. </w:t>
      </w:r>
    </w:p>
    <w:p w14:paraId="0A6C4128" w14:textId="1110C7D5" w:rsidR="00D875DC" w:rsidRPr="00D1421B" w:rsidDel="00CB46D1" w:rsidRDefault="00D875DC" w:rsidP="00D1421B">
      <w:pPr>
        <w:pStyle w:val="CS-IBMResponseText"/>
        <w:rPr>
          <w:rFonts w:eastAsia="IBM Plex Sans"/>
        </w:rPr>
      </w:pPr>
      <w:r w:rsidRPr="00D1421B">
        <w:rPr>
          <w:rFonts w:eastAsiaTheme="minorEastAsia"/>
        </w:rPr>
        <w:t xml:space="preserve">IBM is proud of its successful engagements involving multiple vendors within the State of California and throughout the United States. This includes engagements involving multiple vendors, such as at the California Department of Corrections and </w:t>
      </w:r>
      <w:r w:rsidR="00203650" w:rsidRPr="00D1421B">
        <w:rPr>
          <w:rFonts w:eastAsiaTheme="minorEastAsia"/>
        </w:rPr>
        <w:t>Rehabilitation</w:t>
      </w:r>
      <w:r w:rsidRPr="00D1421B">
        <w:rPr>
          <w:rFonts w:eastAsiaTheme="minorEastAsia"/>
        </w:rPr>
        <w:t xml:space="preserve"> (CDCR), </w:t>
      </w:r>
      <w:r w:rsidRPr="00D1421B">
        <w:rPr>
          <w:rFonts w:eastAsia="IBM Plex Sans"/>
        </w:rPr>
        <w:t xml:space="preserve">DHCS </w:t>
      </w:r>
      <w:r w:rsidRPr="00D1421B">
        <w:rPr>
          <w:rFonts w:eastAsiaTheme="minorEastAsia"/>
        </w:rPr>
        <w:t>Medi-Cal Management Information System (CA-MMIS), California Department of Motor Vehicles (DMV</w:t>
      </w:r>
      <w:r w:rsidR="00797858" w:rsidRPr="00D1421B">
        <w:rPr>
          <w:rFonts w:eastAsiaTheme="minorEastAsia"/>
        </w:rPr>
        <w:t>),</w:t>
      </w:r>
      <w:r w:rsidRPr="00D1421B">
        <w:rPr>
          <w:rFonts w:eastAsiaTheme="minorEastAsia"/>
        </w:rPr>
        <w:t xml:space="preserve"> and </w:t>
      </w:r>
      <w:r w:rsidRPr="00D1421B">
        <w:rPr>
          <w:rFonts w:eastAsia="IBM Plex Sans"/>
        </w:rPr>
        <w:t>other</w:t>
      </w:r>
      <w:r w:rsidRPr="00D1421B">
        <w:rPr>
          <w:rFonts w:eastAsiaTheme="minorEastAsia"/>
        </w:rPr>
        <w:t xml:space="preserve"> similar engagements throughout the United States and worldwide. </w:t>
      </w:r>
      <w:r w:rsidRPr="00D1421B">
        <w:rPr>
          <w:rFonts w:eastAsia="IBM Plex Sans"/>
        </w:rPr>
        <w:t xml:space="preserve">As a large global systems integrator, IBM has deep experience in managing and running complex engagements involving infrastructure and systems similar in size and scale to CalSAWS around the world, </w:t>
      </w:r>
      <w:r w:rsidRPr="00D1421B">
        <w:rPr>
          <w:rFonts w:eastAsia="IBM Plex Sans"/>
        </w:rPr>
        <w:lastRenderedPageBreak/>
        <w:t>leading to better outcomes, validations, and testing of infrastructure, systems, and applications. Within these engagements, IBM has employed people, methodologies, tools, and technologies resulting in optimizations and improved productivity for their clients. With uncertain budgetary times, improving productivity in maintenance and operations allows entities like CalSAWS to generate cost savings that can be used for improvements and enhancements to its systems. IBM has done just that in its global engagements, whether at the</w:t>
      </w:r>
      <w:r w:rsidR="00C35D60">
        <w:rPr>
          <w:rFonts w:eastAsia="IBM Plex Sans"/>
        </w:rPr>
        <w:t xml:space="preserve"> State of California</w:t>
      </w:r>
      <w:r w:rsidRPr="00D1421B">
        <w:rPr>
          <w:rFonts w:eastAsia="IBM Plex Sans"/>
        </w:rPr>
        <w:t xml:space="preserve"> CA-MMIS or in our work for the States of Florida and Arizona.</w:t>
      </w:r>
    </w:p>
    <w:p w14:paraId="760C4018" w14:textId="77777777" w:rsidR="00D875DC" w:rsidRPr="00D1421B" w:rsidRDefault="00D875DC" w:rsidP="00307EC3">
      <w:pPr>
        <w:pStyle w:val="CS-IBMResponseText"/>
        <w:rPr>
          <w:rFonts w:eastAsiaTheme="minorEastAsia"/>
        </w:rPr>
      </w:pPr>
      <w:r w:rsidRPr="00D1421B">
        <w:rPr>
          <w:rFonts w:eastAsia="IBM Plex Sans"/>
        </w:rPr>
        <w:t>IBM has demonstrated</w:t>
      </w:r>
      <w:r w:rsidRPr="00D1421B">
        <w:rPr>
          <w:rFonts w:eastAsiaTheme="minorEastAsia"/>
        </w:rPr>
        <w:t xml:space="preserve"> success working as a QA vendor </w:t>
      </w:r>
      <w:r w:rsidRPr="00D1421B">
        <w:rPr>
          <w:rFonts w:eastAsia="IBM Plex Sans"/>
        </w:rPr>
        <w:t>through</w:t>
      </w:r>
      <w:r w:rsidRPr="00D1421B">
        <w:rPr>
          <w:rFonts w:eastAsiaTheme="minorEastAsia"/>
        </w:rPr>
        <w:t xml:space="preserve"> implementing  comprehensive approaches, cutting edge technology, employing personnel familiar with quality assurance and testing, utilizing partner resources to augment our staff, and having staff personnel backed by our US-based Client Innovation Centers (CICs), who help our onsite resources in areas like quality assurance, testing, and other support activities. In everything we do, we build QA into the process early and holistically, resulting in lower errors, defects, and better outcomes in productivity and quality.</w:t>
      </w:r>
    </w:p>
    <w:p w14:paraId="5F94BF47" w14:textId="77777777" w:rsidR="00D875DC" w:rsidRPr="00E1147E" w:rsidRDefault="00D875DC" w:rsidP="00E1147E">
      <w:pPr>
        <w:pStyle w:val="CS-IBMResponseText"/>
        <w:rPr>
          <w:rFonts w:eastAsia="IBM Plex Sans"/>
        </w:rPr>
      </w:pPr>
      <w:r w:rsidRPr="00E1147E">
        <w:rPr>
          <w:rFonts w:eastAsia="IBM Plex Sans"/>
        </w:rPr>
        <w:t>We plan to leverage our comprehensive QA approach from other engagements to achieve success for the Consortium, whether it is through (1) achieving better and quality code free of defects and rework; (2) better testing, test coverage, and test outcomes for the CalSAWS and BenefitsCal environments; (3) lower error rates; (4) more efficient and effective release management and deployment; (5) a proactive quality assurance process instituted early in the Software Development Lifecycle (SDLC) lifecycle; (6) improved productivity resulting from tools, like AI and automation; and (7) accelerated validation cycles, predictive quality analytics, and continuous improvement. IBM brings to the Consortium demonstrated experience and delivery in all of the above – which no other vendor can bring.</w:t>
      </w:r>
    </w:p>
    <w:p w14:paraId="687ADE28" w14:textId="77777777" w:rsidR="00D875DC" w:rsidRPr="00E1147E" w:rsidRDefault="00D875DC" w:rsidP="00E1147E">
      <w:pPr>
        <w:pStyle w:val="CS-IBMResponseText"/>
        <w:rPr>
          <w:rFonts w:eastAsiaTheme="minorEastAsia"/>
        </w:rPr>
      </w:pPr>
      <w:r w:rsidRPr="00E1147E">
        <w:rPr>
          <w:rFonts w:eastAsiaTheme="minorEastAsia"/>
        </w:rPr>
        <w:t>IBM will deliver world class QA Services to CalSAWS and will assist the Consortium, the executive sponsors and team, the incumbent CalSAWS vendors, and the counties achieve better outcomes, whether in operations or in delivery – beneficial for the Consortium and for the residents of California.</w:t>
      </w:r>
    </w:p>
    <w:p w14:paraId="4CA99CCA" w14:textId="77777777" w:rsidR="00D875DC" w:rsidRDefault="00D875DC" w:rsidP="00D875DC">
      <w:pPr>
        <w:pStyle w:val="Heading2"/>
        <w:rPr>
          <w:rFonts w:eastAsia="IBM Plex Sans"/>
        </w:rPr>
      </w:pPr>
      <w:bookmarkStart w:id="3" w:name="_Toc212405530"/>
      <w:r w:rsidRPr="5581E07F">
        <w:rPr>
          <w:rFonts w:eastAsia="IBM Plex Sans"/>
        </w:rPr>
        <w:t>Our Value Proposition, Qualifications, and Background</w:t>
      </w:r>
      <w:bookmarkEnd w:id="3"/>
    </w:p>
    <w:p w14:paraId="21F0DFAE" w14:textId="5E78F059" w:rsidR="00D875DC" w:rsidRDefault="00D875DC" w:rsidP="00307EC3">
      <w:pPr>
        <w:pStyle w:val="CS-IBMResponseText"/>
        <w:rPr>
          <w:rFonts w:eastAsia="IBM Plex Sans"/>
        </w:rPr>
      </w:pPr>
      <w:r w:rsidRPr="5581E07F">
        <w:rPr>
          <w:rFonts w:eastAsia="IBM Plex Sans"/>
        </w:rPr>
        <w:t xml:space="preserve">IBM brings a compelling value proposition to the CalSAWS Consortium, grounded in decades of experience managing large-scale, multi-vendor technology programs for public sector clients, including those at State of California and Health and Human Services agencies. As a global leader in consulting and technology services, IBM offers a proven portfolio of playbooks, accelerators, </w:t>
      </w:r>
      <w:r w:rsidR="00797858" w:rsidRPr="5581E07F">
        <w:rPr>
          <w:rFonts w:eastAsia="IBM Plex Sans"/>
        </w:rPr>
        <w:t>technology,</w:t>
      </w:r>
      <w:r w:rsidRPr="5581E07F">
        <w:rPr>
          <w:rFonts w:eastAsia="IBM Plex Sans"/>
        </w:rPr>
        <w:t xml:space="preserve"> and frameworks specifically designed to address the complexities of public assistance delivery systems. These assets are instrumental in ensuring seamless integration, operational efficiency, and consistent service delivery across diverse vendor ecosystems.</w:t>
      </w:r>
    </w:p>
    <w:p w14:paraId="30C1D813" w14:textId="07584181" w:rsidR="00D875DC" w:rsidRDefault="00D875DC" w:rsidP="00307EC3">
      <w:pPr>
        <w:pStyle w:val="CS-IBMResponseText"/>
        <w:rPr>
          <w:rFonts w:eastAsia="IBM Plex Sans"/>
        </w:rPr>
      </w:pPr>
      <w:r w:rsidRPr="0B8652D0">
        <w:rPr>
          <w:rFonts w:eastAsia="IBM Plex Sans"/>
        </w:rPr>
        <w:t xml:space="preserve">IBM </w:t>
      </w:r>
      <w:r w:rsidR="0004252C" w:rsidRPr="0B8652D0">
        <w:rPr>
          <w:rFonts w:eastAsia="IBM Plex Sans"/>
        </w:rPr>
        <w:t>has</w:t>
      </w:r>
      <w:r w:rsidRPr="0B8652D0">
        <w:rPr>
          <w:rFonts w:eastAsia="IBM Plex Sans"/>
        </w:rPr>
        <w:t xml:space="preserve"> more than three decades of experience in delivering Quality Assurance for State and Federal Health and Human Services programs across the country. From Medicaid eligibility modernization to integrated benefits platforms, IBM has partnered with large, multi-vendor ecosystems similar in size and scope to CalSAWS. Our work includes modernization efforts in California, Florida, Arizona, and New York, where we </w:t>
      </w:r>
      <w:r w:rsidRPr="0B8652D0">
        <w:rPr>
          <w:rFonts w:eastAsia="IBM Plex Sans"/>
        </w:rPr>
        <w:lastRenderedPageBreak/>
        <w:t xml:space="preserve">supported integrated eligibility and benefits delivery programs impacting millions of residents. </w:t>
      </w:r>
    </w:p>
    <w:p w14:paraId="178B1DC8" w14:textId="77777777" w:rsidR="00D875DC" w:rsidRDefault="00D875DC" w:rsidP="00203650">
      <w:pPr>
        <w:pStyle w:val="Heading2"/>
        <w:rPr>
          <w:rFonts w:eastAsia="IBM Plex Sans"/>
        </w:rPr>
      </w:pPr>
      <w:bookmarkStart w:id="4" w:name="_Toc212405531"/>
      <w:r w:rsidRPr="2C271BA0">
        <w:rPr>
          <w:rFonts w:eastAsia="IBM Plex Sans"/>
        </w:rPr>
        <w:t>Strategic Partnership for System Governance and Oversight</w:t>
      </w:r>
      <w:bookmarkEnd w:id="4"/>
    </w:p>
    <w:p w14:paraId="4F024311" w14:textId="77777777" w:rsidR="00D875DC" w:rsidRDefault="00D875DC" w:rsidP="00307EC3">
      <w:pPr>
        <w:pStyle w:val="CS-IBMResponseText"/>
        <w:rPr>
          <w:rFonts w:eastAsia="IBM Plex Sans"/>
        </w:rPr>
      </w:pPr>
      <w:r w:rsidRPr="5581E07F">
        <w:rPr>
          <w:rFonts w:eastAsia="IBM Plex Sans"/>
        </w:rPr>
        <w:t>IBM’s role for CalSAWS QA is envisioned to be more than just a quality assurance vendor—we act as a strategic partner who understands the broader mission of California’s Health and Human Services ecosystem and the Consortium. Our quality assurance approach supports CalSAWS governance, coordination, and oversight, enabling effective and efficient service delivery that meets federal mandates, state program requirements, and county-level administration needs. We differentiate from other vendors in that we can quickly scale, innovate, use cutting edge technologies to improve productivity, and institute a proactive approach that starts QA at the beginning of the SDLC Lifecycle (see Understanding and Approach Section 4.3 – Software Development Lifecycle) continuing through production releases – always keeping in mind outcomes impacting Consortium personnel and the residents of California. As a large global systems integrator, we have the background and expertise on similar engagements to bring our best practices to the Consortium and bring forth a strategic mindset for helping achieve better outcomes.</w:t>
      </w:r>
    </w:p>
    <w:p w14:paraId="24D3D2F9" w14:textId="77777777" w:rsidR="00D875DC" w:rsidRDefault="00D875DC" w:rsidP="00203650">
      <w:pPr>
        <w:pStyle w:val="Heading2"/>
        <w:rPr>
          <w:rFonts w:eastAsia="IBM Plex Sans"/>
        </w:rPr>
      </w:pPr>
      <w:bookmarkStart w:id="5" w:name="_Toc212405532"/>
      <w:r w:rsidRPr="1DE3272C">
        <w:rPr>
          <w:rFonts w:eastAsia="IBM Plex Sans"/>
        </w:rPr>
        <w:t>QA Team Built on Understanding, Success, and Collaboration Ready for Day 1</w:t>
      </w:r>
      <w:bookmarkEnd w:id="5"/>
    </w:p>
    <w:p w14:paraId="6D514E3B" w14:textId="77777777" w:rsidR="00D875DC" w:rsidRDefault="00D875DC" w:rsidP="00307EC3">
      <w:pPr>
        <w:pStyle w:val="CS-IBMResponseText"/>
        <w:rPr>
          <w:rFonts w:eastAsia="IBM Plex Sans"/>
        </w:rPr>
      </w:pPr>
      <w:r w:rsidRPr="1DE3272C">
        <w:rPr>
          <w:rFonts w:eastAsia="IBM Plex Sans"/>
        </w:rPr>
        <w:t xml:space="preserve">For any large-scale initiatives, we expect individuals to be prepared and ready to encounter highly complex and sometimes difficult situations with professionalism and the right temperament necessary for success. </w:t>
      </w:r>
    </w:p>
    <w:p w14:paraId="63331AFA" w14:textId="77777777" w:rsidR="00D875DC" w:rsidRDefault="00D875DC" w:rsidP="00307EC3">
      <w:pPr>
        <w:pStyle w:val="CS-IBMResponseText"/>
        <w:rPr>
          <w:rFonts w:eastAsia="IBM Plex Sans"/>
        </w:rPr>
      </w:pPr>
      <w:r w:rsidRPr="5581E07F">
        <w:rPr>
          <w:rFonts w:eastAsia="IBM Plex Sans"/>
        </w:rPr>
        <w:t>The Consortium has made clear through this RFP that staffing must do more than simply “fill roles.” QA staff must (1) Understand CalSAWS and the Public Assistance Ecosystem: Possess knowledge of eligibility rules, program requirements, and county workflows to ensure QA aligns with how Medi-Cal, CalFRESH, CalWORKs, Refugee Cash Assistance, General Assistance and other benefits are actually delivered to Californians; (2) innovate within CalSAWS system processes, tools, and infrastructure; (3) scale and be flexible in response to one-time legislative or technology-driven initiatives; (4) c</w:t>
      </w:r>
      <w:r w:rsidRPr="5581E07F">
        <w:rPr>
          <w:rFonts w:eastAsia="IBM Plex Sans"/>
          <w:color w:val="000000" w:themeColor="text1"/>
        </w:rPr>
        <w:t>ollaborate and communicate effectively with the CalSAWS Consortium, counties, other stakeholders, executive sponsors and leaders, and multiple contractors in an integrated environment; (5) ensure continuity of knowledge while minimizing turnover; and (6) communicate clearly and effectively with both technical and non-technical stakeholders.</w:t>
      </w:r>
    </w:p>
    <w:p w14:paraId="3A9ED83D" w14:textId="5EDDD281" w:rsidR="00D875DC" w:rsidRDefault="00D875DC" w:rsidP="00307EC3">
      <w:pPr>
        <w:pStyle w:val="CS-IBMResponseText"/>
        <w:rPr>
          <w:rFonts w:eastAsia="IBM Plex Sans"/>
        </w:rPr>
      </w:pPr>
      <w:r w:rsidRPr="5581E07F">
        <w:rPr>
          <w:rFonts w:eastAsia="IBM Plex Sans"/>
        </w:rPr>
        <w:t>We have selected a team for the Consortium who are highly qualified and broadly experienced in HHS, SAWS and CalSAWS as well as the Consortium</w:t>
      </w:r>
      <w:r w:rsidR="00797858" w:rsidRPr="5581E07F">
        <w:rPr>
          <w:rFonts w:eastAsia="IBM Plex Sans"/>
        </w:rPr>
        <w:t xml:space="preserve">. </w:t>
      </w:r>
      <w:r w:rsidRPr="5581E07F">
        <w:rPr>
          <w:rFonts w:eastAsia="IBM Plex Sans"/>
        </w:rPr>
        <w:t xml:space="preserve">IBM’s proposed team understands the environment and has relationships with Consortium personnel, understands the methodologies, tools, and approaches planned for performing the work, can rapidly and effectively transition-in to the Consortium, and who is supported by our US-based CICs. We can easily scale resources rapidly based on changes </w:t>
      </w:r>
      <w:r w:rsidRPr="5581E07F">
        <w:rPr>
          <w:rFonts w:eastAsiaTheme="minorEastAsia"/>
        </w:rPr>
        <w:t xml:space="preserve">required due to legislative and other changes without impacting Consortium resources. </w:t>
      </w:r>
      <w:r w:rsidRPr="5581E07F">
        <w:rPr>
          <w:rFonts w:eastAsiaTheme="minorEastAsia"/>
        </w:rPr>
        <w:lastRenderedPageBreak/>
        <w:t>Our staffing approach is further described in the Staffing Section (Section 3) and in the Understanding and Approach Section 4.1 – Quality Assurance Staffing.</w:t>
      </w:r>
    </w:p>
    <w:p w14:paraId="7ADA79D1" w14:textId="77777777" w:rsidR="00D875DC" w:rsidRPr="00901694" w:rsidRDefault="00D875DC" w:rsidP="00901694">
      <w:pPr>
        <w:pStyle w:val="CS-IBMResponseText"/>
        <w:rPr>
          <w:rFonts w:eastAsia="IBM Plex Sans"/>
        </w:rPr>
      </w:pPr>
      <w:r w:rsidRPr="5581E07F">
        <w:rPr>
          <w:rFonts w:eastAsia="IBM Plex Sans"/>
        </w:rPr>
        <w:t xml:space="preserve">Our team brings deep CalSAWS and CalWIN experience, with direct knowledge of the Consortium’s operational working documents (OWDs), plan structure, and quality </w:t>
      </w:r>
      <w:r w:rsidRPr="00901694">
        <w:rPr>
          <w:rFonts w:eastAsia="IBM Plex Sans"/>
        </w:rPr>
        <w:t>processes. Several IBM team members were instrumental in defining and managing QA for the CalWIN system and supporting the transition to CalSAWS. We understand how assessments and deliverables are developed from requirements to delivery and how change, plans and projects are executed in the Consortium environment. This continuity ensures immediate alignment with established practices and allows IBM to begin delivering value on Day One.</w:t>
      </w:r>
    </w:p>
    <w:p w14:paraId="2A804914" w14:textId="77777777" w:rsidR="00D875DC" w:rsidRPr="00901694" w:rsidRDefault="00D875DC" w:rsidP="00901694">
      <w:pPr>
        <w:pStyle w:val="CS-IBMResponseText"/>
        <w:rPr>
          <w:rFonts w:eastAsia="IBM Plex Sans"/>
        </w:rPr>
      </w:pPr>
      <w:r w:rsidRPr="00901694">
        <w:rPr>
          <w:rFonts w:eastAsia="IBM Plex Sans"/>
        </w:rPr>
        <w:t>The proposed QA Services team is also highly knowledgeable and understanding of the entire Consortium ecosystem, whether it is understanding benefits eligibility and determination to state and county workflows, CalSAWS-specific releases, Strategic Plans and Priorities developed by the CalSAWS JPA, major legislative changes at a Federal and State level, and the requirements of Federal and State compliance. We are prepared to provide QA services that help to validate both major and minor releases against functional and technical requirements, program needs, legislative policy and mandates, and user-centered design principles, while continuously improving delivery outcomes for counties and citizens.</w:t>
      </w:r>
    </w:p>
    <w:p w14:paraId="16804B60" w14:textId="77777777" w:rsidR="00D875DC" w:rsidRPr="00901694" w:rsidRDefault="00D875DC" w:rsidP="00901694">
      <w:pPr>
        <w:pStyle w:val="CS-IBMResponseText"/>
        <w:rPr>
          <w:rFonts w:eastAsia="IBM Plex Sans"/>
        </w:rPr>
      </w:pPr>
      <w:r w:rsidRPr="00901694">
        <w:rPr>
          <w:rFonts w:eastAsia="IBM Plex Sans"/>
        </w:rPr>
        <w:t xml:space="preserve">Our proposed key staff and team are collaborative, high-achieving, and results oriented. IBM’s proposed team is not only ready to perform QA Services and independent testing services, but also to help fulfill the mission of the CalSAWS Consortium, which is “to provide a comprehensive, reliable and efficient automated social services system that supports the needs of all 58 counties in California, and the individuals and families they serve. Our mission is to support equitable access to essential social services and improve the overall well-being of our communities.” </w:t>
      </w:r>
    </w:p>
    <w:p w14:paraId="52D863D0" w14:textId="77777777" w:rsidR="00D875DC" w:rsidRPr="00203650" w:rsidRDefault="00D875DC" w:rsidP="00203650">
      <w:pPr>
        <w:pStyle w:val="CS-IBMResponseText"/>
        <w:spacing w:before="240"/>
        <w:rPr>
          <w:b/>
          <w:bCs/>
          <w:color w:val="0070C0"/>
        </w:rPr>
      </w:pPr>
      <w:r w:rsidRPr="00203650">
        <w:rPr>
          <w:b/>
          <w:bCs/>
          <w:color w:val="0070C0"/>
        </w:rPr>
        <w:t>Quality Engineering (QE) Services: Excellence in Execution</w:t>
      </w:r>
    </w:p>
    <w:p w14:paraId="5279F668" w14:textId="77777777" w:rsidR="00D875DC" w:rsidRDefault="00D875DC" w:rsidP="00901694">
      <w:pPr>
        <w:pStyle w:val="CS-IBMResponseText"/>
        <w:rPr>
          <w:rFonts w:eastAsia="IBM Plex Sans"/>
        </w:rPr>
      </w:pPr>
      <w:r w:rsidRPr="253986C8">
        <w:rPr>
          <w:rFonts w:eastAsia="IBM Plex Sans"/>
        </w:rPr>
        <w:t>IBM’s QE Services exemplify our commitment to innovation, reliability, and delivery excellence. With a workforce of over 15,000 QE professionals across North America and our CICs, IBM combines deep consulting expertise with scalable delivery capabilities. This enables us to provide thought leadership, discipline, and global reach with local insight tailored to the Consortium’s unique needs.</w:t>
      </w:r>
    </w:p>
    <w:p w14:paraId="2BEED770" w14:textId="182C30A7" w:rsidR="00D875DC" w:rsidRPr="00E1147E" w:rsidRDefault="00D875DC" w:rsidP="00E1147E">
      <w:pPr>
        <w:pStyle w:val="CS-IBMResponseText"/>
        <w:rPr>
          <w:rFonts w:eastAsia="IBM Plex Sans"/>
        </w:rPr>
      </w:pPr>
      <w:r w:rsidRPr="00E1147E">
        <w:rPr>
          <w:rFonts w:eastAsia="IBM Plex Sans"/>
        </w:rPr>
        <w:t>Our QE Services are underpinned by standardized methodologies and GenAI-infused assets that accelerate implementation and transformation. By leveraging cognitive technologies, predictive analytics, and cloud-native testing frameworks, IBM will further mitigate risk and enhance quality across the entire lifecycle of CalSAWS systems, which no manual-based vendor can provide. Our QE approach is designed to fit within the CalSAWS environment, not replace it. We focus on integration, alignment, and shared visibility</w:t>
      </w:r>
      <w:r w:rsidR="0004252C">
        <w:rPr>
          <w:rFonts w:eastAsia="IBM Plex Sans"/>
        </w:rPr>
        <w:t xml:space="preserve"> – </w:t>
      </w:r>
      <w:r w:rsidRPr="00E1147E">
        <w:rPr>
          <w:rFonts w:eastAsia="IBM Plex Sans"/>
        </w:rPr>
        <w:t>ensuring that quality and security are strengthened at every stage without disrupting the work of incumbent CalSAWS vendors.</w:t>
      </w:r>
    </w:p>
    <w:p w14:paraId="04CBAD7F" w14:textId="77777777" w:rsidR="00D875DC" w:rsidRDefault="00D875DC" w:rsidP="00203650">
      <w:pPr>
        <w:pStyle w:val="Heading2"/>
        <w:rPr>
          <w:rFonts w:eastAsia="IBM Plex Sans"/>
        </w:rPr>
      </w:pPr>
      <w:bookmarkStart w:id="6" w:name="_Toc212405533"/>
      <w:r w:rsidRPr="5581E07F">
        <w:rPr>
          <w:rFonts w:eastAsia="IBM Plex Sans"/>
        </w:rPr>
        <w:lastRenderedPageBreak/>
        <w:t>Partnership-Based Approach Beneficial to the Consortium Setting IBM Apart from Others</w:t>
      </w:r>
      <w:bookmarkEnd w:id="6"/>
    </w:p>
    <w:p w14:paraId="14CB9165" w14:textId="77777777" w:rsidR="00D875DC" w:rsidRDefault="00D875DC" w:rsidP="006E5D86">
      <w:pPr>
        <w:pStyle w:val="CS-IBMResponseText"/>
        <w:rPr>
          <w:rFonts w:eastAsia="IBM Plex Sans"/>
        </w:rPr>
      </w:pPr>
      <w:r w:rsidRPr="5581E07F">
        <w:rPr>
          <w:rFonts w:eastAsia="IBM Plex Sans"/>
        </w:rPr>
        <w:t xml:space="preserve">IBM has built a team ready to tackle the opportunities and challenges for the next phase of CalSAWS. We have partnered with Speridian Technologies, LLC and KAI Partners, LLC. Speridian Technologies is a global systems integrator with a local, dedicated team based in the Sacramento area focused on providing public sector services. KAI Partners, LLC is a Sacramento-area based consulting firm experienced in public sector consulting, including health and human services, and specifically CalSAWS. </w:t>
      </w:r>
    </w:p>
    <w:p w14:paraId="60958244" w14:textId="1EE84A8B" w:rsidR="00D875DC" w:rsidRDefault="00D875DC" w:rsidP="006E5D86">
      <w:pPr>
        <w:pStyle w:val="CS-IBMResponseText"/>
        <w:rPr>
          <w:rFonts w:eastAsia="IBM Plex Sans"/>
        </w:rPr>
      </w:pPr>
      <w:r w:rsidRPr="5581E07F">
        <w:rPr>
          <w:rFonts w:eastAsia="IBM Plex Sans"/>
        </w:rPr>
        <w:t xml:space="preserve">“Team IBM” brings to the Consortium experienced personnel who know and understand the CalSAWS environment, have worked with the incumbent CalSAWS vendors, counties, and the CalSAWS Consortium, and who are also highly qualified and outcomes-based, with a record of success in California health and human services’ engagements. </w:t>
      </w:r>
    </w:p>
    <w:p w14:paraId="62B35BD8" w14:textId="62AB0D94" w:rsidR="00D875DC" w:rsidRDefault="00D875DC" w:rsidP="006E5D86">
      <w:pPr>
        <w:pStyle w:val="CS-IBMResponseText"/>
        <w:rPr>
          <w:rFonts w:eastAsia="IBM Plex Sans"/>
        </w:rPr>
      </w:pPr>
      <w:r w:rsidRPr="5581E07F">
        <w:rPr>
          <w:rFonts w:eastAsia="IBM Plex Sans"/>
        </w:rPr>
        <w:t xml:space="preserve">The partnership built for this engagement includes highly skilled personnel ready to “hit the ground running on day 1.” The proposed IBM team possess hard and soft skills – the ability to address technical challenges and knowledge and skilled in technical processes, tools, and technologies, but also with the ability to communicate openly, honestly, and independently their technical and non-technical findings and recommendations. IBM understands the importance of building trusted relationships. Upon contract award, IBM will immediately work to develop strong, collaborative, trusted relationships with the </w:t>
      </w:r>
      <w:r w:rsidR="00203650" w:rsidRPr="5581E07F">
        <w:rPr>
          <w:rFonts w:eastAsia="IBM Plex Sans"/>
        </w:rPr>
        <w:t>Consortium</w:t>
      </w:r>
      <w:r w:rsidRPr="5581E07F">
        <w:rPr>
          <w:rFonts w:eastAsia="IBM Plex Sans"/>
        </w:rPr>
        <w:t xml:space="preserve">, within all levels of the engagement, whether it is executive sponsorship, leadership, project management, and role-based personnel, critical for an environment like the Consortium, where communication and relationships are critical to success. These differentiators set IBM apart from other vendors as the Consortium considers its future QA partner. </w:t>
      </w:r>
    </w:p>
    <w:p w14:paraId="15D751F3" w14:textId="77777777" w:rsidR="00D875DC" w:rsidRPr="00203650" w:rsidRDefault="00D875DC" w:rsidP="00203650">
      <w:pPr>
        <w:pStyle w:val="Heading2"/>
        <w:rPr>
          <w:rFonts w:eastAsia="IBM Plex Sans"/>
        </w:rPr>
      </w:pPr>
      <w:bookmarkStart w:id="7" w:name="_Toc212405534"/>
      <w:r w:rsidRPr="00203650">
        <w:rPr>
          <w:rFonts w:eastAsia="IBM Plex Sans"/>
        </w:rPr>
        <w:t>Ability to Effectively Coordinate across a Multi-Vendor Environment</w:t>
      </w:r>
      <w:bookmarkEnd w:id="7"/>
    </w:p>
    <w:p w14:paraId="006FA103" w14:textId="0E331E68" w:rsidR="00D875DC" w:rsidRDefault="00D875DC" w:rsidP="006E5D86">
      <w:pPr>
        <w:pStyle w:val="CS-IBMResponseText"/>
        <w:rPr>
          <w:rFonts w:eastAsia="IBM Plex Sans"/>
        </w:rPr>
      </w:pPr>
      <w:r w:rsidRPr="5581E07F">
        <w:rPr>
          <w:rFonts w:eastAsia="IBM Plex Sans"/>
        </w:rPr>
        <w:t xml:space="preserve">As mentioned, technology can take an organization </w:t>
      </w:r>
      <w:r w:rsidR="0021082C" w:rsidRPr="5581E07F">
        <w:rPr>
          <w:rFonts w:eastAsia="IBM Plex Sans"/>
        </w:rPr>
        <w:t>far</w:t>
      </w:r>
      <w:r w:rsidRPr="5581E07F">
        <w:rPr>
          <w:rFonts w:eastAsia="IBM Plex Sans"/>
        </w:rPr>
        <w:t xml:space="preserve"> but not far enough. A collaborative partnership built on working together to resolve problems and innovate is critical to move an organization further. Recognizing the Consortium is built on collaboration, relationships, and understanding, from executive-level individuals to Consortium and county personnel, IBM possesses the experience and personnel able to act independently, but also work together in a communicative and transparent manner across all levels of the Consortium, collaboratively partnering to assist the Consortium toward its stated vision, goals, future state. We discuss how IBM is built for engagements like QA Services for the Consortium, within multi-vendor environments in </w:t>
      </w:r>
      <w:r w:rsidRPr="5581E07F">
        <w:rPr>
          <w:rFonts w:eastAsiaTheme="minorEastAsia"/>
        </w:rPr>
        <w:t>Understanding and Approach Section 4.2 – Multi-Contractor Environment.</w:t>
      </w:r>
    </w:p>
    <w:p w14:paraId="55809960" w14:textId="5A223D31" w:rsidR="00D875DC" w:rsidRDefault="00D875DC" w:rsidP="006E5D86">
      <w:pPr>
        <w:pStyle w:val="CS-IBMResponseText"/>
        <w:rPr>
          <w:rFonts w:eastAsia="IBM Plex Sans"/>
        </w:rPr>
      </w:pPr>
      <w:r w:rsidRPr="5581E07F">
        <w:rPr>
          <w:rFonts w:eastAsia="IBM Plex Sans"/>
        </w:rPr>
        <w:t xml:space="preserve">The Consortium’s success depends on effective coordination across a multi-contractor ecosystem that includes the incumbent CalSAWS vendors, the Consortium’s governance bodies, executive sponsorship, leadership and project management, the counties, and other stakeholders. </w:t>
      </w:r>
    </w:p>
    <w:p w14:paraId="4188D4F0" w14:textId="77777777" w:rsidR="00D875DC" w:rsidRPr="00203650" w:rsidRDefault="00D875DC" w:rsidP="00203650">
      <w:pPr>
        <w:pStyle w:val="Heading2"/>
        <w:rPr>
          <w:rFonts w:eastAsia="IBM Plex Sans"/>
        </w:rPr>
      </w:pPr>
      <w:bookmarkStart w:id="8" w:name="_Toc212405535"/>
      <w:r w:rsidRPr="00203650">
        <w:rPr>
          <w:rFonts w:eastAsia="IBM Plex Sans"/>
        </w:rPr>
        <w:lastRenderedPageBreak/>
        <w:t>Proactive Quality Approach Built into the CalSAWS SDLC Lifecycle</w:t>
      </w:r>
      <w:bookmarkEnd w:id="8"/>
    </w:p>
    <w:p w14:paraId="395DD10E" w14:textId="77777777" w:rsidR="00D875DC" w:rsidRDefault="00D875DC" w:rsidP="006E5D86">
      <w:pPr>
        <w:pStyle w:val="CS-IBMResponseText"/>
        <w:rPr>
          <w:rFonts w:eastAsia="IBM Plex Sans"/>
        </w:rPr>
      </w:pPr>
      <w:r w:rsidRPr="5581E07F">
        <w:rPr>
          <w:rFonts w:eastAsia="IBM Plex Sans"/>
        </w:rPr>
        <w:t>CalSAWS operates at a scale that few systems match, connecting 58 counties, thousands of county eligibility workers, and millions of Californians who rely on timely and accurate benefit delivery. In this environment, quality is not a single testing milestone; it is a continuous discipline that must span the entire SDLC.</w:t>
      </w:r>
    </w:p>
    <w:p w14:paraId="5F29E611" w14:textId="77777777" w:rsidR="00D875DC" w:rsidRDefault="00D875DC" w:rsidP="006E5D86">
      <w:pPr>
        <w:pStyle w:val="CS-IBMResponseText"/>
        <w:rPr>
          <w:rFonts w:eastAsia="IBM Plex Sans"/>
        </w:rPr>
      </w:pPr>
      <w:r w:rsidRPr="5581E07F">
        <w:rPr>
          <w:rFonts w:eastAsia="IBM Plex Sans"/>
        </w:rPr>
        <w:t>IBM is guided by three key principles that guide how we approach quality: (1) quality must start early; (2) innovation must have purpose; and (3) quality is ultimately about people. Adhering to these principles, we apply our QE framework to help entities like CalSAWS transition from traditional QA to a proactive, data-driven model where quality is designed, measured, and improved throughout the SDLC lifecycle.</w:t>
      </w:r>
    </w:p>
    <w:p w14:paraId="656C0E2A" w14:textId="77777777" w:rsidR="00D875DC" w:rsidRDefault="00D875DC" w:rsidP="006E5D86">
      <w:pPr>
        <w:pStyle w:val="CS-IBMResponseText"/>
        <w:rPr>
          <w:rFonts w:eastAsia="IBM Plex Sans"/>
        </w:rPr>
      </w:pPr>
      <w:r w:rsidRPr="5581E07F">
        <w:rPr>
          <w:rFonts w:eastAsia="IBM Plex Sans"/>
        </w:rPr>
        <w:t>IBM brings a disciplined QE process to CalSAWS that makes quality a shared responsibility across requirements, design, development, testing, deployment, and operations. With CalSAWS’ vision of quality evolving from a reactive to a proactive discipline, shifting the focus from fixing problems after they occur to preventing them from the start will achieve the vision. Instead of waiting for issues to appear after build and test, quality will be embedded from the beginning through clear, testable requirements, early risk identification, and continuous feedback, resulting in (1) early visibility into risk; (2) defect prevention rather than detection; (3) automation and AI used purposefully; and (4) continuous improvement built into governance.</w:t>
      </w:r>
    </w:p>
    <w:p w14:paraId="7D6841FD" w14:textId="77777777" w:rsidR="00D875DC" w:rsidRDefault="00D875DC" w:rsidP="006E5D86">
      <w:pPr>
        <w:pStyle w:val="CS-IBMResponseText"/>
        <w:rPr>
          <w:rFonts w:eastAsia="IBM Plex Sans"/>
        </w:rPr>
      </w:pPr>
      <w:r w:rsidRPr="253986C8">
        <w:rPr>
          <w:rFonts w:eastAsia="IBM Plex Sans"/>
        </w:rPr>
        <w:t>In short, Quality Engineering turns QA from a checkpoint into a core CalSAWS management function—one that enables earlier decisions, lower total cost of quality, and uninterrupted service delivery for Californians.</w:t>
      </w:r>
    </w:p>
    <w:p w14:paraId="23B873DC" w14:textId="77777777" w:rsidR="00D875DC" w:rsidRPr="00E1147E" w:rsidRDefault="00D875DC" w:rsidP="00E1147E">
      <w:pPr>
        <w:pStyle w:val="Heading2"/>
        <w:rPr>
          <w:rFonts w:eastAsia="IBM Plex Sans"/>
        </w:rPr>
      </w:pPr>
      <w:bookmarkStart w:id="9" w:name="_Toc212405536"/>
      <w:r w:rsidRPr="00E1147E">
        <w:rPr>
          <w:rFonts w:eastAsia="IBM Plex Sans"/>
        </w:rPr>
        <w:t>Proven Independent Test Methodologies and Management Across Entire IT Ecosystems</w:t>
      </w:r>
      <w:bookmarkEnd w:id="9"/>
    </w:p>
    <w:p w14:paraId="76417697" w14:textId="77777777" w:rsidR="00D875DC" w:rsidRDefault="00D875DC" w:rsidP="006E5D86">
      <w:pPr>
        <w:pStyle w:val="CS-IBMResponseText"/>
        <w:rPr>
          <w:rFonts w:eastAsia="IBM Plex Sans"/>
        </w:rPr>
      </w:pPr>
      <w:r w:rsidRPr="5581E07F">
        <w:rPr>
          <w:rFonts w:eastAsia="IBM Plex Sans"/>
        </w:rPr>
        <w:t>Our approach for independent testing is simple: To combine our human expertise, CalSAWS background and knowledge, collaborative approach with intelligent QA automation, and partnership with the Consortium’s experienced teams to improve quality and speed while maintaining accountability. IBM’s independent testing function will leverage these strengths, in addition to the ability to scale, innovate, and utilize automation capabilities. These provide a new level of visibility, efficiency, and assurance across the Consortium environment – benefits that include accelerated validation cycles, predictive quality analytics, and continuous improvement that smaller, manual approaches and vendors cannot achieve.</w:t>
      </w:r>
    </w:p>
    <w:p w14:paraId="486F7D7C" w14:textId="77777777" w:rsidR="00D875DC" w:rsidRDefault="00D875DC" w:rsidP="006E5D86">
      <w:pPr>
        <w:pStyle w:val="CS-IBMResponseText"/>
        <w:rPr>
          <w:rFonts w:eastAsiaTheme="minorEastAsia"/>
          <w:color w:val="002F4E"/>
        </w:rPr>
      </w:pPr>
      <w:r w:rsidRPr="5581E07F">
        <w:rPr>
          <w:rFonts w:eastAsia="IBM Plex Sans"/>
        </w:rPr>
        <w:t xml:space="preserve">Besides the ability to scale, innovate, and utilize automation capabilities few vendors can match, Enterprise-level QA platforms, AI-assisted test optimization, and intelligent data management tools have been proven and successfully utilized across large, complex government systems. </w:t>
      </w:r>
    </w:p>
    <w:p w14:paraId="782DD6FC" w14:textId="77777777" w:rsidR="00D875DC" w:rsidRDefault="00D875DC" w:rsidP="006E5D86">
      <w:pPr>
        <w:pStyle w:val="CS-IBMResponseText"/>
        <w:rPr>
          <w:rFonts w:eastAsia="IBM Plex Sans"/>
        </w:rPr>
      </w:pPr>
      <w:r w:rsidRPr="5581E07F">
        <w:rPr>
          <w:rFonts w:eastAsia="IBM Plex Sans"/>
        </w:rPr>
        <w:t xml:space="preserve">Drawing on IBM’s global QA Centers of Excellence and deep experience supporting statewide systems of comparable size and complexity, we will build on the work performed for CalSAWS independent testing and further develop a governed and </w:t>
      </w:r>
      <w:r w:rsidRPr="5581E07F">
        <w:rPr>
          <w:rFonts w:eastAsia="IBM Plex Sans"/>
        </w:rPr>
        <w:lastRenderedPageBreak/>
        <w:t xml:space="preserve">scalable independent testing capability to ensure transparency, accountability, and consistent traceability from requirements through results. </w:t>
      </w:r>
    </w:p>
    <w:p w14:paraId="119D72B1" w14:textId="0E441DC0" w:rsidR="00D875DC" w:rsidRDefault="00D875DC" w:rsidP="006E5D86">
      <w:pPr>
        <w:pStyle w:val="CS-IBMResponseText"/>
        <w:rPr>
          <w:rFonts w:eastAsia="IBM Plex Sans"/>
          <w:color w:val="002F4E"/>
        </w:rPr>
      </w:pPr>
      <w:r w:rsidRPr="5581E07F">
        <w:rPr>
          <w:rFonts w:eastAsia="IBM Plex Sans"/>
        </w:rPr>
        <w:t xml:space="preserve">Our proactive, independent test approach moves the test cycle from a reactive to a proactive approach, “shifting the test process left” to be incorporated and embedded from requirements and design, instead of just testing the outcomes. Our approach is to be independent yet collaborative with the incumbent CalSAWS vendors and the CalSAWS Consortium, being open, </w:t>
      </w:r>
      <w:r w:rsidR="00797858" w:rsidRPr="5581E07F">
        <w:rPr>
          <w:rFonts w:eastAsia="IBM Plex Sans"/>
        </w:rPr>
        <w:t>communicative,</w:t>
      </w:r>
      <w:r w:rsidRPr="5581E07F">
        <w:rPr>
          <w:rFonts w:eastAsia="IBM Plex Sans"/>
        </w:rPr>
        <w:t xml:space="preserve"> and transparent about results, improvements or corrections needed and respective remediations and recommendations, always with a continuous improvement mindset. We discuss our testing approach in the </w:t>
      </w:r>
      <w:r w:rsidRPr="5581E07F">
        <w:rPr>
          <w:rFonts w:eastAsiaTheme="minorEastAsia"/>
          <w:color w:val="002F4E"/>
        </w:rPr>
        <w:t>Understanding and Approach Section 4.4 – Approach to Independent Test.</w:t>
      </w:r>
    </w:p>
    <w:p w14:paraId="6045AE91" w14:textId="56F5A619" w:rsidR="00D875DC" w:rsidRPr="00E1147E" w:rsidRDefault="00D875DC" w:rsidP="00E1147E">
      <w:pPr>
        <w:pStyle w:val="Heading2"/>
        <w:rPr>
          <w:rFonts w:eastAsia="IBM Plex Sans"/>
        </w:rPr>
      </w:pPr>
      <w:bookmarkStart w:id="10" w:name="_Toc212405537"/>
      <w:r w:rsidRPr="00E1147E">
        <w:rPr>
          <w:rFonts w:eastAsia="IBM Plex Sans"/>
        </w:rPr>
        <w:t>Delivery Excellence for Mission-Critical Systems</w:t>
      </w:r>
      <w:bookmarkEnd w:id="10"/>
    </w:p>
    <w:p w14:paraId="6C46C857" w14:textId="257018B9" w:rsidR="00D875DC" w:rsidRDefault="00D875DC" w:rsidP="001102CE">
      <w:pPr>
        <w:pStyle w:val="CS-IBMResponseText"/>
        <w:rPr>
          <w:rFonts w:eastAsia="IBM Plex Sans"/>
        </w:rPr>
      </w:pPr>
      <w:r w:rsidRPr="5581E07F">
        <w:rPr>
          <w:rFonts w:eastAsia="IBM Plex Sans"/>
        </w:rPr>
        <w:t xml:space="preserve">IBM’s Delivery Excellence capabilities are particularly suited to the mission-critical nature of the CalSAWS system, which supports all 58 counties and serves approximately 40% of California’s residents. Through rigorous quality assurance reviews, standardized processes, and continuous improvement practices, IBM ensures that all deliverables meet or exceed industry standards. Our approach to quality management supports the delivery of vital public assistance programs such as Medi-Cal, CalFRESH, and CalWORKs. IBM’s repeatable and scalable processes align with CalSAWS’ need for consistent service delivery to all 58 counties, while our commitment to continuous learning and adaptation ensures the system remains innovative and </w:t>
      </w:r>
      <w:r w:rsidR="00DD327A" w:rsidRPr="5581E07F">
        <w:rPr>
          <w:rFonts w:eastAsia="IBM Plex Sans"/>
        </w:rPr>
        <w:t>future ready</w:t>
      </w:r>
      <w:r w:rsidRPr="5581E07F">
        <w:rPr>
          <w:rFonts w:eastAsia="IBM Plex Sans"/>
        </w:rPr>
        <w:t>.</w:t>
      </w:r>
      <w:r w:rsidRPr="5581E07F">
        <w:rPr>
          <w:rFonts w:eastAsia="IBM Plex Sans"/>
          <w:b/>
          <w:bCs/>
          <w:color w:val="106288"/>
        </w:rPr>
        <w:t xml:space="preserve"> </w:t>
      </w:r>
    </w:p>
    <w:p w14:paraId="72809F5F" w14:textId="77777777" w:rsidR="00D875DC" w:rsidRPr="00E1147E" w:rsidRDefault="00D875DC" w:rsidP="00E1147E">
      <w:pPr>
        <w:pStyle w:val="Heading2"/>
        <w:rPr>
          <w:rFonts w:eastAsia="IBM Plex Sans"/>
        </w:rPr>
      </w:pPr>
      <w:bookmarkStart w:id="11" w:name="_Toc212405538"/>
      <w:r w:rsidRPr="00E1147E">
        <w:rPr>
          <w:rFonts w:eastAsia="IBM Plex Sans"/>
        </w:rPr>
        <w:t>Cross-Industry Expertise and Scalable Solutions</w:t>
      </w:r>
      <w:bookmarkEnd w:id="11"/>
    </w:p>
    <w:p w14:paraId="4B6F03C3" w14:textId="6F1263AE" w:rsidR="00D875DC" w:rsidRPr="001102CE" w:rsidRDefault="00D875DC" w:rsidP="001102CE">
      <w:pPr>
        <w:pStyle w:val="CS-IBMResponseText"/>
        <w:rPr>
          <w:rFonts w:eastAsia="IBM Plex Sans"/>
        </w:rPr>
      </w:pPr>
      <w:r w:rsidRPr="001102CE">
        <w:rPr>
          <w:rFonts w:eastAsia="IBM Plex Sans"/>
        </w:rPr>
        <w:t xml:space="preserve">IBM’s extensive private and public sector cross-industry experience allows us to deliver repeatable, scalable solutions efficiently and consistently. Our global reach as a systems integrator, consulting, and technology vendor possessing deep technical proficiency spans major enterprise platforms—including AWS, Microsoft, Salesforce, and Oracle—ensuring seamless integration and interoperability across CalSAWS’ technology landscape. Our background, </w:t>
      </w:r>
      <w:r w:rsidR="006B4189" w:rsidRPr="001102CE">
        <w:rPr>
          <w:rFonts w:eastAsia="IBM Plex Sans"/>
        </w:rPr>
        <w:t>knowledge,</w:t>
      </w:r>
      <w:r w:rsidRPr="001102CE">
        <w:rPr>
          <w:rFonts w:eastAsia="IBM Plex Sans"/>
        </w:rPr>
        <w:t xml:space="preserve"> and experience as a global technology leader guides IBM as to how to </w:t>
      </w:r>
      <w:r w:rsidR="00DD327A" w:rsidRPr="001102CE">
        <w:rPr>
          <w:rFonts w:eastAsia="IBM Plex Sans"/>
        </w:rPr>
        <w:t>be a leader</w:t>
      </w:r>
      <w:r w:rsidRPr="001102CE">
        <w:rPr>
          <w:rFonts w:eastAsia="IBM Plex Sans"/>
        </w:rPr>
        <w:t xml:space="preserve"> in QA Services, areas critical for moving the Consortium to the next phase in its CalSAWS and BenefitsCal journey.</w:t>
      </w:r>
    </w:p>
    <w:p w14:paraId="7CF01A3E" w14:textId="77777777" w:rsidR="00D875DC" w:rsidRDefault="00D875DC" w:rsidP="00E1147E">
      <w:pPr>
        <w:pStyle w:val="Heading2"/>
        <w:rPr>
          <w:rFonts w:eastAsia="IBM Plex Sans"/>
        </w:rPr>
      </w:pPr>
      <w:bookmarkStart w:id="12" w:name="_Toc212405539"/>
      <w:r w:rsidRPr="00E1147E">
        <w:rPr>
          <w:rFonts w:eastAsia="IBM Plex Sans"/>
        </w:rPr>
        <w:t>Conclusion</w:t>
      </w:r>
      <w:bookmarkEnd w:id="12"/>
    </w:p>
    <w:p w14:paraId="222BA487" w14:textId="77777777" w:rsidR="00D875DC" w:rsidRDefault="00D875DC" w:rsidP="00A6523B">
      <w:pPr>
        <w:pStyle w:val="CS-IBMResponseText"/>
        <w:rPr>
          <w:rFonts w:eastAsia="IBM Plex Sans"/>
        </w:rPr>
      </w:pPr>
      <w:r w:rsidRPr="5581E07F">
        <w:rPr>
          <w:rFonts w:eastAsia="IBM Plex Sans"/>
        </w:rPr>
        <w:t xml:space="preserve">IBM stands prepared to partner with the CalSAWS Consortium to deliver comprehensive, managed QA services tailored to the specific needs of the Consortium. IBM brings global QA experience and a proven QA/QC framework that provides consistency, reliability, and high-quality outcomes across all phases of system development and operation – our QA approach is informed by IBM’s other practice areas, which we plan to leverage and bring to the CalSAWS Consortium. By leveraging our vast network of professionals, deep public sector expertise, QA approach and methodologies, and strategic technology partnerships, IBM is uniquely positioned to deliver enterprise-level solutions that enable the effective management, modernization, and continuous advancement of California’s public assistance delivery systems. IBM </w:t>
      </w:r>
      <w:r w:rsidRPr="5581E07F">
        <w:rPr>
          <w:rFonts w:eastAsia="IBM Plex Sans"/>
        </w:rPr>
        <w:lastRenderedPageBreak/>
        <w:t xml:space="preserve">stands ready to be the Consortium’s trusted QA partner on the Consortium’s journey toward increased innovation, integration, and impact. </w:t>
      </w:r>
    </w:p>
    <w:p w14:paraId="7F538703" w14:textId="34BCF683" w:rsidR="00D875DC" w:rsidRDefault="00D875DC" w:rsidP="001102CE">
      <w:pPr>
        <w:pStyle w:val="CS-IBMResponseText"/>
        <w:rPr>
          <w:rFonts w:eastAsia="IBM Plex Sans"/>
        </w:rPr>
      </w:pPr>
      <w:r w:rsidRPr="5581E07F">
        <w:rPr>
          <w:rFonts w:eastAsia="IBM Plex Sans"/>
        </w:rPr>
        <w:t xml:space="preserve">We recognize that having a new vendor within an M&amp;E environment might present challenges; however, IBM views this as an opportunity – to help the Consortium move to the next phase of their journey. The Consortium will benefit from a company of IBM’s size, </w:t>
      </w:r>
      <w:r w:rsidR="00DD327A" w:rsidRPr="5581E07F">
        <w:rPr>
          <w:rFonts w:eastAsia="IBM Plex Sans"/>
        </w:rPr>
        <w:t>scale,</w:t>
      </w:r>
      <w:r w:rsidRPr="5581E07F">
        <w:rPr>
          <w:rFonts w:eastAsia="IBM Plex Sans"/>
        </w:rPr>
        <w:t xml:space="preserve"> and global reach—we bring qualified and knowledgeable resources, experienced partners, ability to quickly scale, long-term expertise in technology and in health and human services, and our cutting-edge technology in AI and automation. </w:t>
      </w:r>
    </w:p>
    <w:p w14:paraId="426F723B" w14:textId="3B834A01" w:rsidR="00D875DC" w:rsidRDefault="00D875DC" w:rsidP="001102CE">
      <w:pPr>
        <w:pStyle w:val="CS-IBMResponseText"/>
        <w:rPr>
          <w:rFonts w:eastAsia="IBM Plex Sans"/>
        </w:rPr>
      </w:pPr>
      <w:r w:rsidRPr="5581E07F">
        <w:rPr>
          <w:rFonts w:eastAsia="IBM Plex Sans"/>
        </w:rPr>
        <w:t>Most importantly, IBM is ready to work in a multi-vendor environment with the incumbent CalSAWS vendors and Consortium executive and personnel, State sponsors and stakeholders, and the counties to transform and modernize CalSAWS, facilitating the most successful delivery possible for Californians who receive public assistance benefits and services from the 58 counties.  We will do so in a collaborative, transparent and trustful manner in service to the Consortium and counties</w:t>
      </w:r>
      <w:r w:rsidR="00DD327A" w:rsidRPr="5581E07F">
        <w:rPr>
          <w:rFonts w:eastAsia="IBM Plex Sans"/>
        </w:rPr>
        <w:t xml:space="preserve">. </w:t>
      </w:r>
    </w:p>
    <w:p w14:paraId="487E09E4" w14:textId="77777777" w:rsidR="00D875DC" w:rsidRDefault="00D875DC" w:rsidP="001102CE">
      <w:pPr>
        <w:pStyle w:val="CS-IBMResponseText"/>
        <w:rPr>
          <w:rFonts w:ascii="IBM Plex Sans" w:eastAsia="IBM Plex Sans" w:hAnsi="IBM Plex Sans" w:cs="IBM Plex Sans"/>
          <w:color w:val="000000" w:themeColor="text1"/>
          <w:szCs w:val="22"/>
        </w:rPr>
      </w:pPr>
      <w:r w:rsidRPr="5581E07F">
        <w:rPr>
          <w:rFonts w:ascii="IBM Plex Sans" w:eastAsia="IBM Plex Sans" w:hAnsi="IBM Plex Sans" w:cs="IBM Plex Sans"/>
          <w:color w:val="000000" w:themeColor="text1"/>
          <w:szCs w:val="22"/>
        </w:rPr>
        <w:t xml:space="preserve">IBM is excited to partner with and deliver world class QA Services to the Consortium and the Residents of California. </w:t>
      </w:r>
    </w:p>
    <w:p w14:paraId="5DCF1068" w14:textId="77777777" w:rsidR="000266B4" w:rsidRDefault="000266B4" w:rsidP="00583294">
      <w:pPr>
        <w:pStyle w:val="CS-IBMResponseText"/>
      </w:pPr>
    </w:p>
    <w:p w14:paraId="6784359F" w14:textId="77777777" w:rsidR="00E1147E" w:rsidRDefault="00E1147E" w:rsidP="00583294">
      <w:pPr>
        <w:pStyle w:val="CS-IBMResponseText"/>
      </w:pPr>
    </w:p>
    <w:p w14:paraId="5713FEA7" w14:textId="77777777" w:rsidR="00E1147E" w:rsidRPr="00583294" w:rsidRDefault="00E1147E" w:rsidP="00583294">
      <w:pPr>
        <w:pStyle w:val="CS-IBMResponseText"/>
      </w:pPr>
    </w:p>
    <w:sectPr w:rsidR="00E1147E" w:rsidRPr="00583294" w:rsidSect="00D37D15">
      <w:headerReference w:type="default" r:id="rId10"/>
      <w:footerReference w:type="default" r:id="rId11"/>
      <w:pgSz w:w="12240" w:h="15840" w:code="1"/>
      <w:pgMar w:top="1323" w:right="1440" w:bottom="1197" w:left="1440" w:header="504" w:footer="42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AEF3E" w14:textId="77777777" w:rsidR="00E64828" w:rsidRDefault="00E64828" w:rsidP="00C25E9E">
      <w:r>
        <w:separator/>
      </w:r>
    </w:p>
    <w:p w14:paraId="33690227" w14:textId="77777777" w:rsidR="00E64828" w:rsidRDefault="00E64828" w:rsidP="00C25E9E"/>
    <w:p w14:paraId="5E8469D5" w14:textId="77777777" w:rsidR="00E64828" w:rsidRDefault="00E64828"/>
    <w:p w14:paraId="18DCFE27" w14:textId="77777777" w:rsidR="00E64828" w:rsidRDefault="00E64828"/>
    <w:p w14:paraId="710ED59D" w14:textId="77777777" w:rsidR="00E64828" w:rsidRDefault="00E64828"/>
  </w:endnote>
  <w:endnote w:type="continuationSeparator" w:id="0">
    <w:p w14:paraId="02ECE4B5" w14:textId="77777777" w:rsidR="00E64828" w:rsidRDefault="00E64828" w:rsidP="00C25E9E">
      <w:r>
        <w:continuationSeparator/>
      </w:r>
    </w:p>
    <w:p w14:paraId="550EB670" w14:textId="77777777" w:rsidR="00E64828" w:rsidRDefault="00E64828" w:rsidP="00C25E9E"/>
    <w:p w14:paraId="3079D9DB" w14:textId="77777777" w:rsidR="00E64828" w:rsidRDefault="00E64828"/>
    <w:p w14:paraId="4DA77801" w14:textId="77777777" w:rsidR="00E64828" w:rsidRDefault="00E64828"/>
    <w:p w14:paraId="2CB3A936" w14:textId="77777777" w:rsidR="00E64828" w:rsidRDefault="00E648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altName w:val="Calibri"/>
    <w:panose1 w:val="020B0502020202020204"/>
    <w:charset w:val="00"/>
    <w:family w:val="swiss"/>
    <w:pitch w:val="variable"/>
    <w:sig w:usb0="00000287" w:usb1="00000000" w:usb2="00000000" w:usb3="00000000" w:csb0="0000009F" w:csb1="00000000"/>
  </w:font>
  <w:font w:name="IBM Plex Sans">
    <w:panose1 w:val="020B0503050203000203"/>
    <w:charset w:val="00"/>
    <w:family w:val="swiss"/>
    <w:pitch w:val="variable"/>
    <w:sig w:usb0="A00002EF" w:usb1="5000203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imrod">
    <w:charset w:val="00"/>
    <w:family w:val="roman"/>
    <w:pitch w:val="variable"/>
    <w:sig w:usb0="00000003" w:usb1="00000000" w:usb2="00000000" w:usb3="00000000" w:csb0="00000001" w:csb1="00000000"/>
  </w:font>
  <w:font w:name="Arial Bold">
    <w:altName w:val="Arial"/>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C7E98" w14:textId="7895B4FE" w:rsidR="00E72660" w:rsidRPr="005232E1" w:rsidRDefault="00E948FB" w:rsidP="00D57F1D">
    <w:pPr>
      <w:pStyle w:val="CS-IBMFooter"/>
    </w:pPr>
    <w:r w:rsidRPr="001B3A39">
      <w:t>© 202</w:t>
    </w:r>
    <w:r w:rsidR="006E58A3">
      <w:t>5</w:t>
    </w:r>
    <w:r w:rsidRPr="001B3A39">
      <w:t xml:space="preserve"> IBM Corporation</w:t>
    </w:r>
    <w:r w:rsidRPr="005232E1">
      <w:tab/>
    </w:r>
    <w:r w:rsidRPr="005232E1">
      <w:tab/>
    </w:r>
    <w:r w:rsidR="00D57F1D">
      <w:tab/>
    </w:r>
    <w:r w:rsidR="00D57F1D">
      <w:tab/>
    </w:r>
    <w:r w:rsidR="00D57F1D">
      <w:tab/>
    </w:r>
    <w:r w:rsidR="00D57F1D">
      <w:tab/>
    </w:r>
    <w:r w:rsidR="00D57F1D">
      <w:tab/>
    </w:r>
    <w:r w:rsidR="00D57F1D">
      <w:tab/>
    </w:r>
    <w:r w:rsidR="00D57F1D">
      <w:tab/>
    </w:r>
    <w:r w:rsidR="001C6D47">
      <w:t xml:space="preserve">             </w:t>
    </w:r>
    <w:r w:rsidRPr="005232E1">
      <w:t xml:space="preserve">Page | </w:t>
    </w:r>
    <w:r w:rsidRPr="005232E1">
      <w:fldChar w:fldCharType="begin"/>
    </w:r>
    <w:r w:rsidRPr="005232E1">
      <w:instrText xml:space="preserve"> PAGE </w:instrText>
    </w:r>
    <w:r w:rsidRPr="005232E1">
      <w:fldChar w:fldCharType="separate"/>
    </w:r>
    <w:r w:rsidRPr="005232E1">
      <w:t>1</w:t>
    </w:r>
    <w:r w:rsidRPr="005232E1">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8D178" w14:textId="57D388E0" w:rsidR="00E1306C" w:rsidRPr="005232E1" w:rsidRDefault="00405EF5" w:rsidP="00D57F1D">
    <w:pPr>
      <w:pStyle w:val="CS-IBMFooter"/>
    </w:pPr>
    <w:r w:rsidRPr="001B3A39">
      <w:t>© 202</w:t>
    </w:r>
    <w:r w:rsidR="006E58A3">
      <w:t>5</w:t>
    </w:r>
    <w:r w:rsidRPr="001B3A39">
      <w:t xml:space="preserve"> IBM Corporation</w:t>
    </w:r>
    <w:r w:rsidRPr="005232E1">
      <w:tab/>
    </w:r>
    <w:r w:rsidRPr="005232E1">
      <w:tab/>
    </w:r>
    <w:r w:rsidR="00D57F1D">
      <w:tab/>
    </w:r>
    <w:r w:rsidR="00D57F1D">
      <w:tab/>
    </w:r>
    <w:r w:rsidR="00D57F1D">
      <w:tab/>
    </w:r>
    <w:r w:rsidR="00D57F1D">
      <w:tab/>
    </w:r>
    <w:r w:rsidR="00D57F1D">
      <w:tab/>
    </w:r>
    <w:r w:rsidR="00D57F1D">
      <w:tab/>
    </w:r>
    <w:r w:rsidR="00D57F1D">
      <w:tab/>
    </w:r>
    <w:r w:rsidR="007B385B">
      <w:t xml:space="preserve">          </w:t>
    </w:r>
    <w:r w:rsidRPr="005232E1">
      <w:t xml:space="preserve">Page | </w:t>
    </w:r>
    <w:r w:rsidRPr="005232E1">
      <w:fldChar w:fldCharType="begin"/>
    </w:r>
    <w:r w:rsidRPr="005232E1">
      <w:instrText xml:space="preserve"> PAGE </w:instrText>
    </w:r>
    <w:r w:rsidRPr="005232E1">
      <w:fldChar w:fldCharType="separate"/>
    </w:r>
    <w:r w:rsidRPr="005232E1">
      <w:t>4</w:t>
    </w:r>
    <w:r w:rsidRPr="005232E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333D5" w14:textId="77777777" w:rsidR="00E64828" w:rsidRDefault="00E64828" w:rsidP="00C25E9E">
      <w:r>
        <w:separator/>
      </w:r>
    </w:p>
    <w:p w14:paraId="2AB8707C" w14:textId="77777777" w:rsidR="00E64828" w:rsidRDefault="00E64828" w:rsidP="00C25E9E"/>
    <w:p w14:paraId="00C01380" w14:textId="77777777" w:rsidR="00E64828" w:rsidRDefault="00E64828"/>
    <w:p w14:paraId="63B8CFCB" w14:textId="77777777" w:rsidR="00E64828" w:rsidRDefault="00E64828"/>
    <w:p w14:paraId="440884BA" w14:textId="77777777" w:rsidR="00E64828" w:rsidRDefault="00E64828"/>
  </w:footnote>
  <w:footnote w:type="continuationSeparator" w:id="0">
    <w:p w14:paraId="31B2C726" w14:textId="77777777" w:rsidR="00E64828" w:rsidRDefault="00E64828" w:rsidP="00C25E9E">
      <w:r>
        <w:continuationSeparator/>
      </w:r>
    </w:p>
    <w:p w14:paraId="328ED0A7" w14:textId="77777777" w:rsidR="00E64828" w:rsidRDefault="00E64828" w:rsidP="00C25E9E"/>
    <w:p w14:paraId="2BE753F6" w14:textId="77777777" w:rsidR="00E64828" w:rsidRDefault="00E64828"/>
    <w:p w14:paraId="648CCE2B" w14:textId="77777777" w:rsidR="00E64828" w:rsidRDefault="00E64828"/>
    <w:p w14:paraId="08CE449B" w14:textId="77777777" w:rsidR="00E64828" w:rsidRDefault="00E648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D64CF" w14:textId="77777777" w:rsidR="004D7D12" w:rsidRDefault="004D7D12" w:rsidP="00324ACB">
    <w:pPr>
      <w:pStyle w:val="CS-IBMHeader"/>
      <w:pBdr>
        <w:bottom w:val="none" w:sz="0" w:space="0" w:color="auto"/>
      </w:pBdr>
      <w:spacing w:after="0"/>
      <w:rPr>
        <w:rFonts w:cs="Times New Roman"/>
      </w:rPr>
    </w:pPr>
    <w:r w:rsidRPr="004D7D12">
      <w:rPr>
        <w:rFonts w:cs="Times New Roman"/>
      </w:rPr>
      <w:t>California Statewide Automated Welfare System</w:t>
    </w:r>
    <w:r>
      <w:rPr>
        <w:rFonts w:cs="Times New Roman"/>
      </w:rPr>
      <w:t xml:space="preserve"> (</w:t>
    </w:r>
    <w:r w:rsidR="0008081E" w:rsidRPr="0008081E">
      <w:rPr>
        <w:rFonts w:cs="Times New Roman"/>
      </w:rPr>
      <w:t>CalSAWS</w:t>
    </w:r>
    <w:r>
      <w:rPr>
        <w:rFonts w:cs="Times New Roman"/>
      </w:rPr>
      <w:t>)</w:t>
    </w:r>
  </w:p>
  <w:p w14:paraId="24A7AB3C" w14:textId="7AA0CB2B" w:rsidR="00206614" w:rsidRPr="002A65F1" w:rsidRDefault="004D7D12" w:rsidP="00324ACB">
    <w:pPr>
      <w:pStyle w:val="CS-IBMHeader"/>
      <w:pBdr>
        <w:bottom w:val="none" w:sz="0" w:space="0" w:color="auto"/>
      </w:pBdr>
      <w:spacing w:after="0"/>
      <w:rPr>
        <w:rFonts w:cs="Times New Roman"/>
        <w:highlight w:val="yellow"/>
      </w:rPr>
    </w:pPr>
    <w:r>
      <w:rPr>
        <w:rFonts w:cs="Times New Roman"/>
      </w:rPr>
      <w:t>Q</w:t>
    </w:r>
    <w:r w:rsidR="0008081E" w:rsidRPr="0008081E">
      <w:rPr>
        <w:rFonts w:cs="Times New Roman"/>
      </w:rPr>
      <w:t>uality Assurance (QA) Services RFP #01-2025</w:t>
    </w:r>
    <w:r w:rsidR="00206614" w:rsidRPr="00206614">
      <w:rPr>
        <w:rFonts w:cs="Times New Roman"/>
        <w:highlight w:val="yellow"/>
      </w:rPr>
      <w:drawing>
        <wp:anchor distT="0" distB="0" distL="114300" distR="114300" simplePos="0" relativeHeight="251662336" behindDoc="1" locked="0" layoutInCell="1" allowOverlap="1" wp14:anchorId="55F27EBC" wp14:editId="52F4C5EB">
          <wp:simplePos x="0" y="0"/>
          <wp:positionH relativeFrom="margin">
            <wp:align>right</wp:align>
          </wp:positionH>
          <wp:positionV relativeFrom="paragraph">
            <wp:posOffset>3387</wp:posOffset>
          </wp:positionV>
          <wp:extent cx="1157605" cy="158115"/>
          <wp:effectExtent l="0" t="0" r="4445" b="0"/>
          <wp:wrapNone/>
          <wp:docPr id="999477185" name="Picture 999477185">
            <a:extLst xmlns:a="http://schemas.openxmlformats.org/drawingml/2006/main">
              <a:ext uri="{FF2B5EF4-FFF2-40B4-BE49-F238E27FC236}">
                <a16:creationId xmlns:a16="http://schemas.microsoft.com/office/drawing/2014/main" id="{439CF450-60B5-0440-9E64-DF3B7ECC47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439CF450-60B5-0440-9E64-DF3B7ECC478F}"/>
                      </a:ext>
                    </a:extLst>
                  </pic:cNvPr>
                  <pic:cNvPicPr>
                    <a:picLocks noChangeAspect="1"/>
                  </pic:cNvPicPr>
                </pic:nvPicPr>
                <pic:blipFill>
                  <a:blip r:embed="rId1" cstate="print">
                    <a:lum bright="-40000" contrast="-40000"/>
                    <a:extLst>
                      <a:ext uri="{28A0092B-C50C-407E-A947-70E740481C1C}">
                        <a14:useLocalDpi xmlns:a14="http://schemas.microsoft.com/office/drawing/2010/main" val="0"/>
                      </a:ext>
                    </a:extLst>
                  </a:blip>
                  <a:stretch>
                    <a:fillRect/>
                  </a:stretch>
                </pic:blipFill>
                <pic:spPr>
                  <a:xfrm>
                    <a:off x="0" y="0"/>
                    <a:ext cx="1157605" cy="158115"/>
                  </a:xfrm>
                  <a:prstGeom prst="rect">
                    <a:avLst/>
                  </a:prstGeom>
                </pic:spPr>
              </pic:pic>
            </a:graphicData>
          </a:graphic>
          <wp14:sizeRelH relativeFrom="page">
            <wp14:pctWidth>0</wp14:pctWidth>
          </wp14:sizeRelH>
          <wp14:sizeRelV relativeFrom="page">
            <wp14:pctHeight>0</wp14:pctHeight>
          </wp14:sizeRelV>
        </wp:anchor>
      </w:drawing>
    </w:r>
  </w:p>
  <w:p w14:paraId="4F60D0DF" w14:textId="77777777" w:rsidR="00877442" w:rsidRDefault="00877442" w:rsidP="00314784">
    <w:pPr>
      <w:pBdr>
        <w:bottom w:val="single" w:sz="4" w:space="1" w:color="7F7F7F"/>
      </w:pBdr>
      <w:spacing w:before="0" w:after="0"/>
    </w:pPr>
  </w:p>
  <w:p w14:paraId="5039DE11" w14:textId="77777777" w:rsidR="00E948FB" w:rsidRPr="00877442" w:rsidRDefault="00E948FB" w:rsidP="00877442">
    <w:pPr>
      <w:pStyle w:val="Header"/>
      <w:pBdr>
        <w:bottom w:val="none" w:sz="0" w:space="0" w:color="auto"/>
      </w:pBdr>
      <w:spacing w:befor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07185" w14:textId="77777777" w:rsidR="004D7D12" w:rsidRDefault="004D7D12" w:rsidP="004D7D12">
    <w:pPr>
      <w:pStyle w:val="CS-IBMHeader"/>
      <w:pBdr>
        <w:bottom w:val="none" w:sz="0" w:space="0" w:color="auto"/>
      </w:pBdr>
      <w:spacing w:after="0"/>
      <w:rPr>
        <w:rFonts w:cs="Times New Roman"/>
      </w:rPr>
    </w:pPr>
    <w:r w:rsidRPr="004D7D12">
      <w:rPr>
        <w:rFonts w:cs="Times New Roman"/>
      </w:rPr>
      <w:t>California Statewide Automated Welfare System</w:t>
    </w:r>
    <w:r>
      <w:rPr>
        <w:rFonts w:cs="Times New Roman"/>
      </w:rPr>
      <w:t xml:space="preserve"> (</w:t>
    </w:r>
    <w:r w:rsidRPr="0008081E">
      <w:rPr>
        <w:rFonts w:cs="Times New Roman"/>
      </w:rPr>
      <w:t>CalSAWS</w:t>
    </w:r>
    <w:r>
      <w:rPr>
        <w:rFonts w:cs="Times New Roman"/>
      </w:rPr>
      <w:t>)</w:t>
    </w:r>
  </w:p>
  <w:p w14:paraId="442FC9D7" w14:textId="77777777" w:rsidR="004D7D12" w:rsidRPr="002A65F1" w:rsidRDefault="004D7D12" w:rsidP="004D7D12">
    <w:pPr>
      <w:pStyle w:val="CS-IBMHeader"/>
      <w:pBdr>
        <w:bottom w:val="none" w:sz="0" w:space="0" w:color="auto"/>
      </w:pBdr>
      <w:spacing w:after="0"/>
      <w:rPr>
        <w:rFonts w:cs="Times New Roman"/>
        <w:highlight w:val="yellow"/>
      </w:rPr>
    </w:pPr>
    <w:r>
      <w:rPr>
        <w:rFonts w:cs="Times New Roman"/>
      </w:rPr>
      <w:t>Q</w:t>
    </w:r>
    <w:r w:rsidRPr="0008081E">
      <w:rPr>
        <w:rFonts w:cs="Times New Roman"/>
      </w:rPr>
      <w:t>uality Assurance (QA) Services RFP #01-2025</w:t>
    </w:r>
    <w:r w:rsidRPr="00206614">
      <w:rPr>
        <w:rFonts w:cs="Times New Roman"/>
        <w:highlight w:val="yellow"/>
      </w:rPr>
      <w:drawing>
        <wp:anchor distT="0" distB="0" distL="114300" distR="114300" simplePos="0" relativeHeight="251664384" behindDoc="1" locked="0" layoutInCell="1" allowOverlap="1" wp14:anchorId="279856EA" wp14:editId="1A4B2374">
          <wp:simplePos x="0" y="0"/>
          <wp:positionH relativeFrom="margin">
            <wp:align>right</wp:align>
          </wp:positionH>
          <wp:positionV relativeFrom="paragraph">
            <wp:posOffset>3387</wp:posOffset>
          </wp:positionV>
          <wp:extent cx="1157605" cy="158115"/>
          <wp:effectExtent l="0" t="0" r="4445" b="0"/>
          <wp:wrapNone/>
          <wp:docPr id="1340454700" name="Picture 1340454700">
            <a:extLst xmlns:a="http://schemas.openxmlformats.org/drawingml/2006/main">
              <a:ext uri="{FF2B5EF4-FFF2-40B4-BE49-F238E27FC236}">
                <a16:creationId xmlns:a16="http://schemas.microsoft.com/office/drawing/2014/main" id="{439CF450-60B5-0440-9E64-DF3B7ECC47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439CF450-60B5-0440-9E64-DF3B7ECC478F}"/>
                      </a:ext>
                    </a:extLst>
                  </pic:cNvPr>
                  <pic:cNvPicPr>
                    <a:picLocks noChangeAspect="1"/>
                  </pic:cNvPicPr>
                </pic:nvPicPr>
                <pic:blipFill>
                  <a:blip r:embed="rId1" cstate="print">
                    <a:lum bright="-40000" contrast="-40000"/>
                    <a:extLst>
                      <a:ext uri="{28A0092B-C50C-407E-A947-70E740481C1C}">
                        <a14:useLocalDpi xmlns:a14="http://schemas.microsoft.com/office/drawing/2010/main" val="0"/>
                      </a:ext>
                    </a:extLst>
                  </a:blip>
                  <a:stretch>
                    <a:fillRect/>
                  </a:stretch>
                </pic:blipFill>
                <pic:spPr>
                  <a:xfrm>
                    <a:off x="0" y="0"/>
                    <a:ext cx="1157605" cy="158115"/>
                  </a:xfrm>
                  <a:prstGeom prst="rect">
                    <a:avLst/>
                  </a:prstGeom>
                </pic:spPr>
              </pic:pic>
            </a:graphicData>
          </a:graphic>
          <wp14:sizeRelH relativeFrom="page">
            <wp14:pctWidth>0</wp14:pctWidth>
          </wp14:sizeRelH>
          <wp14:sizeRelV relativeFrom="page">
            <wp14:pctHeight>0</wp14:pctHeight>
          </wp14:sizeRelV>
        </wp:anchor>
      </w:drawing>
    </w:r>
  </w:p>
  <w:p w14:paraId="785F24BA" w14:textId="77777777" w:rsidR="004D7D12" w:rsidRDefault="004D7D12" w:rsidP="004D7D12">
    <w:pPr>
      <w:pBdr>
        <w:bottom w:val="single" w:sz="4" w:space="1" w:color="7F7F7F"/>
      </w:pBdr>
      <w:spacing w:before="0" w:after="0"/>
    </w:pPr>
  </w:p>
  <w:p w14:paraId="7510FBC9" w14:textId="77777777" w:rsidR="004D7D12" w:rsidRPr="00877442" w:rsidRDefault="004D7D12" w:rsidP="004D7D12">
    <w:pPr>
      <w:pStyle w:val="Header"/>
      <w:pBdr>
        <w:bottom w:val="none" w:sz="0" w:space="0" w:color="auto"/>
      </w:pBd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04056C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6E0B4C"/>
    <w:multiLevelType w:val="hybridMultilevel"/>
    <w:tmpl w:val="D0F62728"/>
    <w:lvl w:ilvl="0" w:tplc="F3BABDEE">
      <w:start w:val="1"/>
      <w:numFmt w:val="bullet"/>
      <w:pStyle w:val="CS-IBMBullet1"/>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D0FC4"/>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9AC462C"/>
    <w:multiLevelType w:val="multilevel"/>
    <w:tmpl w:val="9F62006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0EFD3913"/>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7670BE1"/>
    <w:multiLevelType w:val="hybridMultilevel"/>
    <w:tmpl w:val="21029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A8512B"/>
    <w:multiLevelType w:val="hybridMultilevel"/>
    <w:tmpl w:val="093A6DC8"/>
    <w:lvl w:ilvl="0" w:tplc="9F5C1F7A">
      <w:start w:val="1"/>
      <w:numFmt w:val="bullet"/>
      <w:pStyle w:val="CS-IBMBullet2"/>
      <w:lvlText w:val=""/>
      <w:lvlJc w:val="left"/>
      <w:pPr>
        <w:ind w:left="717" w:hanging="360"/>
      </w:pPr>
      <w:rPr>
        <w:rFonts w:ascii="Symbol" w:hAnsi="Symbol" w:hint="default"/>
        <w:color w:val="000000" w:themeColor="text1"/>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15:restartNumberingAfterBreak="0">
    <w:nsid w:val="2C9622B8"/>
    <w:multiLevelType w:val="hybridMultilevel"/>
    <w:tmpl w:val="49DC03A6"/>
    <w:lvl w:ilvl="0" w:tplc="3D36B8BC">
      <w:start w:val="1"/>
      <w:numFmt w:val="bullet"/>
      <w:pStyle w:val="CS-IBMCoverLetter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92438C"/>
    <w:multiLevelType w:val="hybridMultilevel"/>
    <w:tmpl w:val="CF601D26"/>
    <w:lvl w:ilvl="0" w:tplc="25C67A2E">
      <w:start w:val="1"/>
      <w:numFmt w:val="bullet"/>
      <w:pStyle w:val="CS-RFPBullet4"/>
      <w:lvlText w:val=""/>
      <w:lvlJc w:val="left"/>
      <w:pPr>
        <w:ind w:left="1437"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F092127"/>
    <w:multiLevelType w:val="hybridMultilevel"/>
    <w:tmpl w:val="6AEEB4F8"/>
    <w:lvl w:ilvl="0" w:tplc="1BBC45FC">
      <w:start w:val="1"/>
      <w:numFmt w:val="bullet"/>
      <w:pStyle w:val="CS-RFPBullet5"/>
      <w:lvlText w:val=""/>
      <w:lvlJc w:val="left"/>
      <w:pPr>
        <w:ind w:left="1800" w:hanging="360"/>
      </w:pPr>
      <w:rPr>
        <w:rFonts w:ascii="Wingdings" w:hAnsi="Wingdings" w:hint="default"/>
        <w:b w:val="0"/>
        <w:i w:val="0"/>
        <w:sz w:val="21"/>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35EC5DCB"/>
    <w:multiLevelType w:val="hybridMultilevel"/>
    <w:tmpl w:val="F2AA1800"/>
    <w:lvl w:ilvl="0" w:tplc="0E3EB8B4">
      <w:start w:val="1"/>
      <w:numFmt w:val="bullet"/>
      <w:pStyle w:val="CS-IBMBullet5"/>
      <w:lvlText w:val=""/>
      <w:lvlJc w:val="left"/>
      <w:pPr>
        <w:ind w:left="1794" w:hanging="360"/>
      </w:pPr>
      <w:rPr>
        <w:rFonts w:ascii="Wingdings" w:hAnsi="Wingdings" w:hint="default"/>
      </w:rPr>
    </w:lvl>
    <w:lvl w:ilvl="1" w:tplc="34090003" w:tentative="1">
      <w:start w:val="1"/>
      <w:numFmt w:val="bullet"/>
      <w:lvlText w:val="o"/>
      <w:lvlJc w:val="left"/>
      <w:pPr>
        <w:ind w:left="2514" w:hanging="360"/>
      </w:pPr>
      <w:rPr>
        <w:rFonts w:ascii="Courier New" w:hAnsi="Courier New" w:cs="Courier New" w:hint="default"/>
      </w:rPr>
    </w:lvl>
    <w:lvl w:ilvl="2" w:tplc="34090005" w:tentative="1">
      <w:start w:val="1"/>
      <w:numFmt w:val="bullet"/>
      <w:lvlText w:val=""/>
      <w:lvlJc w:val="left"/>
      <w:pPr>
        <w:ind w:left="3234" w:hanging="360"/>
      </w:pPr>
      <w:rPr>
        <w:rFonts w:ascii="Wingdings" w:hAnsi="Wingdings" w:hint="default"/>
      </w:rPr>
    </w:lvl>
    <w:lvl w:ilvl="3" w:tplc="34090001" w:tentative="1">
      <w:start w:val="1"/>
      <w:numFmt w:val="bullet"/>
      <w:lvlText w:val=""/>
      <w:lvlJc w:val="left"/>
      <w:pPr>
        <w:ind w:left="3954" w:hanging="360"/>
      </w:pPr>
      <w:rPr>
        <w:rFonts w:ascii="Symbol" w:hAnsi="Symbol" w:hint="default"/>
      </w:rPr>
    </w:lvl>
    <w:lvl w:ilvl="4" w:tplc="34090003" w:tentative="1">
      <w:start w:val="1"/>
      <w:numFmt w:val="bullet"/>
      <w:lvlText w:val="o"/>
      <w:lvlJc w:val="left"/>
      <w:pPr>
        <w:ind w:left="4674" w:hanging="360"/>
      </w:pPr>
      <w:rPr>
        <w:rFonts w:ascii="Courier New" w:hAnsi="Courier New" w:cs="Courier New" w:hint="default"/>
      </w:rPr>
    </w:lvl>
    <w:lvl w:ilvl="5" w:tplc="34090005" w:tentative="1">
      <w:start w:val="1"/>
      <w:numFmt w:val="bullet"/>
      <w:lvlText w:val=""/>
      <w:lvlJc w:val="left"/>
      <w:pPr>
        <w:ind w:left="5394" w:hanging="360"/>
      </w:pPr>
      <w:rPr>
        <w:rFonts w:ascii="Wingdings" w:hAnsi="Wingdings" w:hint="default"/>
      </w:rPr>
    </w:lvl>
    <w:lvl w:ilvl="6" w:tplc="34090001" w:tentative="1">
      <w:start w:val="1"/>
      <w:numFmt w:val="bullet"/>
      <w:lvlText w:val=""/>
      <w:lvlJc w:val="left"/>
      <w:pPr>
        <w:ind w:left="6114" w:hanging="360"/>
      </w:pPr>
      <w:rPr>
        <w:rFonts w:ascii="Symbol" w:hAnsi="Symbol" w:hint="default"/>
      </w:rPr>
    </w:lvl>
    <w:lvl w:ilvl="7" w:tplc="34090003" w:tentative="1">
      <w:start w:val="1"/>
      <w:numFmt w:val="bullet"/>
      <w:lvlText w:val="o"/>
      <w:lvlJc w:val="left"/>
      <w:pPr>
        <w:ind w:left="6834" w:hanging="360"/>
      </w:pPr>
      <w:rPr>
        <w:rFonts w:ascii="Courier New" w:hAnsi="Courier New" w:cs="Courier New" w:hint="default"/>
      </w:rPr>
    </w:lvl>
    <w:lvl w:ilvl="8" w:tplc="34090005" w:tentative="1">
      <w:start w:val="1"/>
      <w:numFmt w:val="bullet"/>
      <w:lvlText w:val=""/>
      <w:lvlJc w:val="left"/>
      <w:pPr>
        <w:ind w:left="7554" w:hanging="360"/>
      </w:pPr>
      <w:rPr>
        <w:rFonts w:ascii="Wingdings" w:hAnsi="Wingdings" w:hint="default"/>
      </w:rPr>
    </w:lvl>
  </w:abstractNum>
  <w:abstractNum w:abstractNumId="11" w15:restartNumberingAfterBreak="0">
    <w:nsid w:val="394B2491"/>
    <w:multiLevelType w:val="hybridMultilevel"/>
    <w:tmpl w:val="4C96A748"/>
    <w:lvl w:ilvl="0" w:tplc="8FFAE510">
      <w:start w:val="1"/>
      <w:numFmt w:val="bullet"/>
      <w:pStyle w:val="CS-IBMTable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E8771ED"/>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434C707F"/>
    <w:multiLevelType w:val="hybridMultilevel"/>
    <w:tmpl w:val="5808B432"/>
    <w:lvl w:ilvl="0" w:tplc="5DA281BA">
      <w:start w:val="1"/>
      <w:numFmt w:val="bullet"/>
      <w:pStyle w:val="CS-RFPBullet2"/>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C379C0"/>
    <w:multiLevelType w:val="hybridMultilevel"/>
    <w:tmpl w:val="4BAEA6EA"/>
    <w:lvl w:ilvl="0" w:tplc="6B6EC23E">
      <w:start w:val="1"/>
      <w:numFmt w:val="bullet"/>
      <w:pStyle w:val="CS-RFPBullet3"/>
      <w:lvlText w:val="o"/>
      <w:lvlJc w:val="left"/>
      <w:pPr>
        <w:ind w:left="1080" w:hanging="360"/>
      </w:pPr>
      <w:rPr>
        <w:rFonts w:ascii="Courier New" w:hAnsi="Courier New" w:cs="Courier New" w:hint="default"/>
        <w:b w:val="0"/>
        <w:i w:val="0"/>
        <w:caps w:val="0"/>
        <w:strike w:val="0"/>
        <w:dstrike w:val="0"/>
        <w:vanish w:val="0"/>
        <w:color w:val="0070C0"/>
        <w:kern w:val="0"/>
        <w:sz w:val="21"/>
        <w:u w:color="008ABF"/>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A9F7EDD"/>
    <w:multiLevelType w:val="hybridMultilevel"/>
    <w:tmpl w:val="F46C841A"/>
    <w:lvl w:ilvl="0" w:tplc="1CF8B674">
      <w:start w:val="1"/>
      <w:numFmt w:val="bullet"/>
      <w:pStyle w:val="CS-IBMCalloutBullet"/>
      <w:lvlText w:val=""/>
      <w:lvlJc w:val="left"/>
      <w:pPr>
        <w:ind w:left="360" w:hanging="360"/>
      </w:pPr>
      <w:rPr>
        <w:rFonts w:ascii="Symbol" w:hAnsi="Symbol" w:hint="default"/>
      </w:rPr>
    </w:lvl>
    <w:lvl w:ilvl="1" w:tplc="9F865E86" w:tentative="1">
      <w:start w:val="1"/>
      <w:numFmt w:val="bullet"/>
      <w:lvlText w:val=""/>
      <w:lvlJc w:val="left"/>
      <w:pPr>
        <w:tabs>
          <w:tab w:val="num" w:pos="1440"/>
        </w:tabs>
        <w:ind w:left="1440" w:hanging="360"/>
      </w:pPr>
      <w:rPr>
        <w:rFonts w:ascii="Wingdings" w:hAnsi="Wingdings" w:hint="default"/>
      </w:rPr>
    </w:lvl>
    <w:lvl w:ilvl="2" w:tplc="A164212E" w:tentative="1">
      <w:start w:val="1"/>
      <w:numFmt w:val="bullet"/>
      <w:lvlText w:val=""/>
      <w:lvlJc w:val="left"/>
      <w:pPr>
        <w:tabs>
          <w:tab w:val="num" w:pos="2160"/>
        </w:tabs>
        <w:ind w:left="2160" w:hanging="360"/>
      </w:pPr>
      <w:rPr>
        <w:rFonts w:ascii="Wingdings" w:hAnsi="Wingdings" w:hint="default"/>
      </w:rPr>
    </w:lvl>
    <w:lvl w:ilvl="3" w:tplc="242C192A" w:tentative="1">
      <w:start w:val="1"/>
      <w:numFmt w:val="bullet"/>
      <w:lvlText w:val=""/>
      <w:lvlJc w:val="left"/>
      <w:pPr>
        <w:tabs>
          <w:tab w:val="num" w:pos="2880"/>
        </w:tabs>
        <w:ind w:left="2880" w:hanging="360"/>
      </w:pPr>
      <w:rPr>
        <w:rFonts w:ascii="Wingdings" w:hAnsi="Wingdings" w:hint="default"/>
      </w:rPr>
    </w:lvl>
    <w:lvl w:ilvl="4" w:tplc="D780F316" w:tentative="1">
      <w:start w:val="1"/>
      <w:numFmt w:val="bullet"/>
      <w:lvlText w:val=""/>
      <w:lvlJc w:val="left"/>
      <w:pPr>
        <w:tabs>
          <w:tab w:val="num" w:pos="3600"/>
        </w:tabs>
        <w:ind w:left="3600" w:hanging="360"/>
      </w:pPr>
      <w:rPr>
        <w:rFonts w:ascii="Wingdings" w:hAnsi="Wingdings" w:hint="default"/>
      </w:rPr>
    </w:lvl>
    <w:lvl w:ilvl="5" w:tplc="35B84D92" w:tentative="1">
      <w:start w:val="1"/>
      <w:numFmt w:val="bullet"/>
      <w:lvlText w:val=""/>
      <w:lvlJc w:val="left"/>
      <w:pPr>
        <w:tabs>
          <w:tab w:val="num" w:pos="4320"/>
        </w:tabs>
        <w:ind w:left="4320" w:hanging="360"/>
      </w:pPr>
      <w:rPr>
        <w:rFonts w:ascii="Wingdings" w:hAnsi="Wingdings" w:hint="default"/>
      </w:rPr>
    </w:lvl>
    <w:lvl w:ilvl="6" w:tplc="2B3875EA" w:tentative="1">
      <w:start w:val="1"/>
      <w:numFmt w:val="bullet"/>
      <w:lvlText w:val=""/>
      <w:lvlJc w:val="left"/>
      <w:pPr>
        <w:tabs>
          <w:tab w:val="num" w:pos="5040"/>
        </w:tabs>
        <w:ind w:left="5040" w:hanging="360"/>
      </w:pPr>
      <w:rPr>
        <w:rFonts w:ascii="Wingdings" w:hAnsi="Wingdings" w:hint="default"/>
      </w:rPr>
    </w:lvl>
    <w:lvl w:ilvl="7" w:tplc="F46EAF34" w:tentative="1">
      <w:start w:val="1"/>
      <w:numFmt w:val="bullet"/>
      <w:lvlText w:val=""/>
      <w:lvlJc w:val="left"/>
      <w:pPr>
        <w:tabs>
          <w:tab w:val="num" w:pos="5760"/>
        </w:tabs>
        <w:ind w:left="5760" w:hanging="360"/>
      </w:pPr>
      <w:rPr>
        <w:rFonts w:ascii="Wingdings" w:hAnsi="Wingdings" w:hint="default"/>
      </w:rPr>
    </w:lvl>
    <w:lvl w:ilvl="8" w:tplc="0040D2D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BC5A02"/>
    <w:multiLevelType w:val="hybridMultilevel"/>
    <w:tmpl w:val="EAF41A8C"/>
    <w:lvl w:ilvl="0" w:tplc="FE2462C0">
      <w:start w:val="1"/>
      <w:numFmt w:val="bullet"/>
      <w:pStyle w:val="CS-RFPBullet1"/>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53D23"/>
    <w:multiLevelType w:val="hybridMultilevel"/>
    <w:tmpl w:val="50DECCD8"/>
    <w:lvl w:ilvl="0" w:tplc="0ADC0AAC">
      <w:start w:val="1"/>
      <w:numFmt w:val="bullet"/>
      <w:pStyle w:val="CS-IBMTableBullet3"/>
      <w:lvlText w:val="o"/>
      <w:lvlJc w:val="left"/>
      <w:pPr>
        <w:ind w:left="1434" w:hanging="360"/>
      </w:pPr>
      <w:rPr>
        <w:rFonts w:ascii="Courier New" w:hAnsi="Courier New" w:cs="Courier New"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18" w15:restartNumberingAfterBreak="0">
    <w:nsid w:val="5B5A6239"/>
    <w:multiLevelType w:val="hybridMultilevel"/>
    <w:tmpl w:val="A7D4E274"/>
    <w:lvl w:ilvl="0" w:tplc="66ECEA22">
      <w:start w:val="1"/>
      <w:numFmt w:val="bullet"/>
      <w:pStyle w:val="CS-IBMBullet3"/>
      <w:lvlText w:val="o"/>
      <w:lvlJc w:val="left"/>
      <w:pPr>
        <w:ind w:left="1074" w:hanging="360"/>
      </w:pPr>
      <w:rPr>
        <w:rFonts w:ascii="Courier New" w:hAnsi="Courier New" w:cs="Courier New" w:hint="default"/>
        <w:color w:val="000000" w:themeColor="text1"/>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B6F4791"/>
    <w:multiLevelType w:val="hybridMultilevel"/>
    <w:tmpl w:val="82626864"/>
    <w:lvl w:ilvl="0" w:tplc="F6863522">
      <w:start w:val="1"/>
      <w:numFmt w:val="bullet"/>
      <w:pStyle w:val="CS-IBMBullet4"/>
      <w:lvlText w:val=""/>
      <w:lvlJc w:val="left"/>
      <w:pPr>
        <w:ind w:left="1434" w:hanging="360"/>
      </w:pPr>
      <w:rPr>
        <w:rFonts w:ascii="Wingdings" w:hAnsi="Wingdings" w:hint="default"/>
      </w:rPr>
    </w:lvl>
    <w:lvl w:ilvl="1" w:tplc="34090003" w:tentative="1">
      <w:start w:val="1"/>
      <w:numFmt w:val="bullet"/>
      <w:lvlText w:val="o"/>
      <w:lvlJc w:val="left"/>
      <w:pPr>
        <w:ind w:left="2154" w:hanging="360"/>
      </w:pPr>
      <w:rPr>
        <w:rFonts w:ascii="Courier New" w:hAnsi="Courier New" w:cs="Courier New" w:hint="default"/>
      </w:rPr>
    </w:lvl>
    <w:lvl w:ilvl="2" w:tplc="34090005" w:tentative="1">
      <w:start w:val="1"/>
      <w:numFmt w:val="bullet"/>
      <w:lvlText w:val=""/>
      <w:lvlJc w:val="left"/>
      <w:pPr>
        <w:ind w:left="2874" w:hanging="360"/>
      </w:pPr>
      <w:rPr>
        <w:rFonts w:ascii="Wingdings" w:hAnsi="Wingdings" w:hint="default"/>
      </w:rPr>
    </w:lvl>
    <w:lvl w:ilvl="3" w:tplc="34090001" w:tentative="1">
      <w:start w:val="1"/>
      <w:numFmt w:val="bullet"/>
      <w:lvlText w:val=""/>
      <w:lvlJc w:val="left"/>
      <w:pPr>
        <w:ind w:left="3594" w:hanging="360"/>
      </w:pPr>
      <w:rPr>
        <w:rFonts w:ascii="Symbol" w:hAnsi="Symbol" w:hint="default"/>
      </w:rPr>
    </w:lvl>
    <w:lvl w:ilvl="4" w:tplc="34090003" w:tentative="1">
      <w:start w:val="1"/>
      <w:numFmt w:val="bullet"/>
      <w:lvlText w:val="o"/>
      <w:lvlJc w:val="left"/>
      <w:pPr>
        <w:ind w:left="4314" w:hanging="360"/>
      </w:pPr>
      <w:rPr>
        <w:rFonts w:ascii="Courier New" w:hAnsi="Courier New" w:cs="Courier New" w:hint="default"/>
      </w:rPr>
    </w:lvl>
    <w:lvl w:ilvl="5" w:tplc="34090005" w:tentative="1">
      <w:start w:val="1"/>
      <w:numFmt w:val="bullet"/>
      <w:lvlText w:val=""/>
      <w:lvlJc w:val="left"/>
      <w:pPr>
        <w:ind w:left="5034" w:hanging="360"/>
      </w:pPr>
      <w:rPr>
        <w:rFonts w:ascii="Wingdings" w:hAnsi="Wingdings" w:hint="default"/>
      </w:rPr>
    </w:lvl>
    <w:lvl w:ilvl="6" w:tplc="34090001" w:tentative="1">
      <w:start w:val="1"/>
      <w:numFmt w:val="bullet"/>
      <w:lvlText w:val=""/>
      <w:lvlJc w:val="left"/>
      <w:pPr>
        <w:ind w:left="5754" w:hanging="360"/>
      </w:pPr>
      <w:rPr>
        <w:rFonts w:ascii="Symbol" w:hAnsi="Symbol" w:hint="default"/>
      </w:rPr>
    </w:lvl>
    <w:lvl w:ilvl="7" w:tplc="34090003" w:tentative="1">
      <w:start w:val="1"/>
      <w:numFmt w:val="bullet"/>
      <w:lvlText w:val="o"/>
      <w:lvlJc w:val="left"/>
      <w:pPr>
        <w:ind w:left="6474" w:hanging="360"/>
      </w:pPr>
      <w:rPr>
        <w:rFonts w:ascii="Courier New" w:hAnsi="Courier New" w:cs="Courier New" w:hint="default"/>
      </w:rPr>
    </w:lvl>
    <w:lvl w:ilvl="8" w:tplc="34090005" w:tentative="1">
      <w:start w:val="1"/>
      <w:numFmt w:val="bullet"/>
      <w:lvlText w:val=""/>
      <w:lvlJc w:val="left"/>
      <w:pPr>
        <w:ind w:left="7194" w:hanging="360"/>
      </w:pPr>
      <w:rPr>
        <w:rFonts w:ascii="Wingdings" w:hAnsi="Wingdings" w:hint="default"/>
      </w:rPr>
    </w:lvl>
  </w:abstractNum>
  <w:abstractNum w:abstractNumId="20" w15:restartNumberingAfterBreak="0">
    <w:nsid w:val="787D2D73"/>
    <w:multiLevelType w:val="hybridMultilevel"/>
    <w:tmpl w:val="AE0C8900"/>
    <w:lvl w:ilvl="0" w:tplc="DBD65DB8">
      <w:start w:val="1"/>
      <w:numFmt w:val="bullet"/>
      <w:pStyle w:val="CS-IBMTableBullet2"/>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1" w15:restartNumberingAfterBreak="0">
    <w:nsid w:val="7AA44778"/>
    <w:multiLevelType w:val="hybridMultilevel"/>
    <w:tmpl w:val="4684B140"/>
    <w:lvl w:ilvl="0" w:tplc="4A88C2F2">
      <w:start w:val="1"/>
      <w:numFmt w:val="lowerRoman"/>
      <w:pStyle w:val="List3"/>
      <w:lvlText w:val="%1."/>
      <w:lvlJc w:val="left"/>
      <w:pPr>
        <w:tabs>
          <w:tab w:val="num" w:pos="926"/>
        </w:tabs>
        <w:ind w:left="926"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82611964">
    <w:abstractNumId w:val="2"/>
  </w:num>
  <w:num w:numId="2" w16cid:durableId="1825856418">
    <w:abstractNumId w:val="4"/>
  </w:num>
  <w:num w:numId="3" w16cid:durableId="1391923421">
    <w:abstractNumId w:val="12"/>
  </w:num>
  <w:num w:numId="4" w16cid:durableId="841358567">
    <w:abstractNumId w:val="21"/>
  </w:num>
  <w:num w:numId="5" w16cid:durableId="1101729146">
    <w:abstractNumId w:val="9"/>
  </w:num>
  <w:num w:numId="6" w16cid:durableId="1801874410">
    <w:abstractNumId w:val="16"/>
  </w:num>
  <w:num w:numId="7" w16cid:durableId="860705883">
    <w:abstractNumId w:val="0"/>
  </w:num>
  <w:num w:numId="8" w16cid:durableId="1500578867">
    <w:abstractNumId w:val="14"/>
  </w:num>
  <w:num w:numId="9" w16cid:durableId="1482113343">
    <w:abstractNumId w:val="13"/>
  </w:num>
  <w:num w:numId="10" w16cid:durableId="1120757209">
    <w:abstractNumId w:val="8"/>
  </w:num>
  <w:num w:numId="11" w16cid:durableId="1809664078">
    <w:abstractNumId w:val="1"/>
  </w:num>
  <w:num w:numId="12" w16cid:durableId="148135245">
    <w:abstractNumId w:val="6"/>
  </w:num>
  <w:num w:numId="13" w16cid:durableId="1395661601">
    <w:abstractNumId w:val="18"/>
  </w:num>
  <w:num w:numId="14" w16cid:durableId="1440757471">
    <w:abstractNumId w:val="15"/>
  </w:num>
  <w:num w:numId="15" w16cid:durableId="1479608132">
    <w:abstractNumId w:val="7"/>
  </w:num>
  <w:num w:numId="16" w16cid:durableId="1102870950">
    <w:abstractNumId w:val="11"/>
  </w:num>
  <w:num w:numId="17" w16cid:durableId="1604608350">
    <w:abstractNumId w:val="20"/>
  </w:num>
  <w:num w:numId="18" w16cid:durableId="703403042">
    <w:abstractNumId w:val="17"/>
  </w:num>
  <w:num w:numId="19" w16cid:durableId="1056507566">
    <w:abstractNumId w:val="19"/>
  </w:num>
  <w:num w:numId="20" w16cid:durableId="615330643">
    <w:abstractNumId w:val="10"/>
  </w:num>
  <w:num w:numId="21" w16cid:durableId="1513640781">
    <w:abstractNumId w:val="3"/>
  </w:num>
  <w:num w:numId="22" w16cid:durableId="265039596">
    <w:abstractNumId w:val="5"/>
  </w:num>
  <w:num w:numId="23" w16cid:durableId="1039935640">
    <w:abstractNumId w:val="3"/>
  </w:num>
  <w:num w:numId="24" w16cid:durableId="1622109333">
    <w:abstractNumId w:val="3"/>
  </w:num>
  <w:num w:numId="25" w16cid:durableId="1821995466">
    <w:abstractNumId w:val="3"/>
  </w:num>
  <w:num w:numId="26" w16cid:durableId="367679820">
    <w:abstractNumId w:val="3"/>
  </w:num>
  <w:num w:numId="27" w16cid:durableId="547765190">
    <w:abstractNumId w:val="3"/>
  </w:num>
  <w:num w:numId="28" w16cid:durableId="2040352398">
    <w:abstractNumId w:val="3"/>
  </w:num>
  <w:num w:numId="29" w16cid:durableId="1388652584">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2A"/>
    <w:rsid w:val="00006481"/>
    <w:rsid w:val="0001325D"/>
    <w:rsid w:val="0001407E"/>
    <w:rsid w:val="0001480D"/>
    <w:rsid w:val="00015CF4"/>
    <w:rsid w:val="00016639"/>
    <w:rsid w:val="000237BB"/>
    <w:rsid w:val="00023836"/>
    <w:rsid w:val="00025299"/>
    <w:rsid w:val="000266B4"/>
    <w:rsid w:val="00027942"/>
    <w:rsid w:val="0003277D"/>
    <w:rsid w:val="00033F83"/>
    <w:rsid w:val="00034CE2"/>
    <w:rsid w:val="0004252C"/>
    <w:rsid w:val="00044CA4"/>
    <w:rsid w:val="00050660"/>
    <w:rsid w:val="000541C2"/>
    <w:rsid w:val="00064AE5"/>
    <w:rsid w:val="00066583"/>
    <w:rsid w:val="0007178A"/>
    <w:rsid w:val="0007206D"/>
    <w:rsid w:val="00073303"/>
    <w:rsid w:val="00076D1A"/>
    <w:rsid w:val="00077000"/>
    <w:rsid w:val="000773B4"/>
    <w:rsid w:val="00080597"/>
    <w:rsid w:val="00080701"/>
    <w:rsid w:val="0008081E"/>
    <w:rsid w:val="000813AF"/>
    <w:rsid w:val="000846FF"/>
    <w:rsid w:val="00087750"/>
    <w:rsid w:val="00087EB3"/>
    <w:rsid w:val="000901F0"/>
    <w:rsid w:val="00090C5E"/>
    <w:rsid w:val="00092DE2"/>
    <w:rsid w:val="00097963"/>
    <w:rsid w:val="000A1A03"/>
    <w:rsid w:val="000A1BBD"/>
    <w:rsid w:val="000A1F79"/>
    <w:rsid w:val="000A41EA"/>
    <w:rsid w:val="000B172A"/>
    <w:rsid w:val="000B5823"/>
    <w:rsid w:val="000B5EE4"/>
    <w:rsid w:val="000B6670"/>
    <w:rsid w:val="000B67A7"/>
    <w:rsid w:val="000C0980"/>
    <w:rsid w:val="000C19B6"/>
    <w:rsid w:val="000C343D"/>
    <w:rsid w:val="000C6448"/>
    <w:rsid w:val="000D5EA4"/>
    <w:rsid w:val="000E0AF2"/>
    <w:rsid w:val="000E6357"/>
    <w:rsid w:val="000E63F7"/>
    <w:rsid w:val="000E6434"/>
    <w:rsid w:val="000F0685"/>
    <w:rsid w:val="000F46E7"/>
    <w:rsid w:val="00102C98"/>
    <w:rsid w:val="001102CE"/>
    <w:rsid w:val="00111131"/>
    <w:rsid w:val="001112AD"/>
    <w:rsid w:val="00112272"/>
    <w:rsid w:val="00114DD7"/>
    <w:rsid w:val="001158F9"/>
    <w:rsid w:val="00117B3D"/>
    <w:rsid w:val="00121AB0"/>
    <w:rsid w:val="00125116"/>
    <w:rsid w:val="00126230"/>
    <w:rsid w:val="00127199"/>
    <w:rsid w:val="001313BE"/>
    <w:rsid w:val="00131DA1"/>
    <w:rsid w:val="00134312"/>
    <w:rsid w:val="00135E06"/>
    <w:rsid w:val="00144798"/>
    <w:rsid w:val="001525A7"/>
    <w:rsid w:val="00154C0F"/>
    <w:rsid w:val="00155BE9"/>
    <w:rsid w:val="00171DC0"/>
    <w:rsid w:val="00173DEE"/>
    <w:rsid w:val="00176707"/>
    <w:rsid w:val="0017778E"/>
    <w:rsid w:val="001862D9"/>
    <w:rsid w:val="0018748D"/>
    <w:rsid w:val="00187A22"/>
    <w:rsid w:val="0019230E"/>
    <w:rsid w:val="00195483"/>
    <w:rsid w:val="00197132"/>
    <w:rsid w:val="00197DB6"/>
    <w:rsid w:val="001A16BF"/>
    <w:rsid w:val="001A372E"/>
    <w:rsid w:val="001A6FC9"/>
    <w:rsid w:val="001B0E1A"/>
    <w:rsid w:val="001B11CC"/>
    <w:rsid w:val="001B3A39"/>
    <w:rsid w:val="001B4430"/>
    <w:rsid w:val="001C686E"/>
    <w:rsid w:val="001C6D47"/>
    <w:rsid w:val="001C70AE"/>
    <w:rsid w:val="001D3E33"/>
    <w:rsid w:val="001D7106"/>
    <w:rsid w:val="001E28CE"/>
    <w:rsid w:val="001F3AAB"/>
    <w:rsid w:val="001F52C4"/>
    <w:rsid w:val="001F74FD"/>
    <w:rsid w:val="002001CF"/>
    <w:rsid w:val="00200C25"/>
    <w:rsid w:val="00203650"/>
    <w:rsid w:val="002043A6"/>
    <w:rsid w:val="002045D6"/>
    <w:rsid w:val="00206614"/>
    <w:rsid w:val="00206C9A"/>
    <w:rsid w:val="0021082C"/>
    <w:rsid w:val="00211CC1"/>
    <w:rsid w:val="002136FF"/>
    <w:rsid w:val="00214DA0"/>
    <w:rsid w:val="00216BAC"/>
    <w:rsid w:val="00221D19"/>
    <w:rsid w:val="00221E51"/>
    <w:rsid w:val="0022234F"/>
    <w:rsid w:val="0022388C"/>
    <w:rsid w:val="002238C8"/>
    <w:rsid w:val="002261DB"/>
    <w:rsid w:val="00227436"/>
    <w:rsid w:val="00232033"/>
    <w:rsid w:val="0023670B"/>
    <w:rsid w:val="00237996"/>
    <w:rsid w:val="002420FD"/>
    <w:rsid w:val="00244526"/>
    <w:rsid w:val="00245763"/>
    <w:rsid w:val="00247558"/>
    <w:rsid w:val="00247D05"/>
    <w:rsid w:val="002522FB"/>
    <w:rsid w:val="00253BC2"/>
    <w:rsid w:val="002540F1"/>
    <w:rsid w:val="002557F1"/>
    <w:rsid w:val="0025632F"/>
    <w:rsid w:val="0025735A"/>
    <w:rsid w:val="00260E48"/>
    <w:rsid w:val="00262916"/>
    <w:rsid w:val="00263B6D"/>
    <w:rsid w:val="002644D0"/>
    <w:rsid w:val="002660E8"/>
    <w:rsid w:val="00267F32"/>
    <w:rsid w:val="00271165"/>
    <w:rsid w:val="00273064"/>
    <w:rsid w:val="0028186A"/>
    <w:rsid w:val="002824B5"/>
    <w:rsid w:val="00284D63"/>
    <w:rsid w:val="0028555D"/>
    <w:rsid w:val="002919CF"/>
    <w:rsid w:val="00292F4E"/>
    <w:rsid w:val="00293023"/>
    <w:rsid w:val="002955FA"/>
    <w:rsid w:val="002A1455"/>
    <w:rsid w:val="002A2922"/>
    <w:rsid w:val="002A48DB"/>
    <w:rsid w:val="002A65F1"/>
    <w:rsid w:val="002A68E6"/>
    <w:rsid w:val="002A727C"/>
    <w:rsid w:val="002B26D7"/>
    <w:rsid w:val="002C3173"/>
    <w:rsid w:val="002C397C"/>
    <w:rsid w:val="002C48F8"/>
    <w:rsid w:val="002C4B15"/>
    <w:rsid w:val="002C62C6"/>
    <w:rsid w:val="002C63AC"/>
    <w:rsid w:val="002C6425"/>
    <w:rsid w:val="002C7CC9"/>
    <w:rsid w:val="002C7EC2"/>
    <w:rsid w:val="002C7F18"/>
    <w:rsid w:val="002D278D"/>
    <w:rsid w:val="002D3430"/>
    <w:rsid w:val="002D3DDC"/>
    <w:rsid w:val="002D454E"/>
    <w:rsid w:val="002D45DA"/>
    <w:rsid w:val="002D4739"/>
    <w:rsid w:val="002D4C43"/>
    <w:rsid w:val="002D4EEB"/>
    <w:rsid w:val="002D78C1"/>
    <w:rsid w:val="002D7E22"/>
    <w:rsid w:val="002E1954"/>
    <w:rsid w:val="002E2ECD"/>
    <w:rsid w:val="002E462A"/>
    <w:rsid w:val="002E4F0E"/>
    <w:rsid w:val="002F075B"/>
    <w:rsid w:val="002F1C5C"/>
    <w:rsid w:val="002F331E"/>
    <w:rsid w:val="002F372C"/>
    <w:rsid w:val="002F459D"/>
    <w:rsid w:val="002F6EE5"/>
    <w:rsid w:val="002F7DE9"/>
    <w:rsid w:val="003000D9"/>
    <w:rsid w:val="00303BFB"/>
    <w:rsid w:val="003064A5"/>
    <w:rsid w:val="00306FD0"/>
    <w:rsid w:val="003077CF"/>
    <w:rsid w:val="00307B2E"/>
    <w:rsid w:val="00307EC3"/>
    <w:rsid w:val="00314784"/>
    <w:rsid w:val="00314B4A"/>
    <w:rsid w:val="00317818"/>
    <w:rsid w:val="00322F76"/>
    <w:rsid w:val="00324ACB"/>
    <w:rsid w:val="00327115"/>
    <w:rsid w:val="0033139A"/>
    <w:rsid w:val="00333139"/>
    <w:rsid w:val="003341C2"/>
    <w:rsid w:val="003354CE"/>
    <w:rsid w:val="00341BB9"/>
    <w:rsid w:val="00345A85"/>
    <w:rsid w:val="00347A3F"/>
    <w:rsid w:val="00352040"/>
    <w:rsid w:val="0035251C"/>
    <w:rsid w:val="00353342"/>
    <w:rsid w:val="00357D57"/>
    <w:rsid w:val="0036114B"/>
    <w:rsid w:val="003624A5"/>
    <w:rsid w:val="003648F4"/>
    <w:rsid w:val="00367C8B"/>
    <w:rsid w:val="0037486F"/>
    <w:rsid w:val="0038499A"/>
    <w:rsid w:val="00386D23"/>
    <w:rsid w:val="00387149"/>
    <w:rsid w:val="0039529B"/>
    <w:rsid w:val="003A4D91"/>
    <w:rsid w:val="003A7729"/>
    <w:rsid w:val="003B0E1F"/>
    <w:rsid w:val="003B1110"/>
    <w:rsid w:val="003B1990"/>
    <w:rsid w:val="003B5701"/>
    <w:rsid w:val="003C03E3"/>
    <w:rsid w:val="003C0A03"/>
    <w:rsid w:val="003C4994"/>
    <w:rsid w:val="003C6F58"/>
    <w:rsid w:val="003D1E12"/>
    <w:rsid w:val="003E29D4"/>
    <w:rsid w:val="003E58D5"/>
    <w:rsid w:val="003F1606"/>
    <w:rsid w:val="003F3209"/>
    <w:rsid w:val="003F64E1"/>
    <w:rsid w:val="003F760D"/>
    <w:rsid w:val="003F7D2E"/>
    <w:rsid w:val="00405EF5"/>
    <w:rsid w:val="004071DF"/>
    <w:rsid w:val="00407927"/>
    <w:rsid w:val="004112B4"/>
    <w:rsid w:val="00414E09"/>
    <w:rsid w:val="00415F05"/>
    <w:rsid w:val="004173FB"/>
    <w:rsid w:val="0042288D"/>
    <w:rsid w:val="004236C3"/>
    <w:rsid w:val="004403C6"/>
    <w:rsid w:val="00440D69"/>
    <w:rsid w:val="00444281"/>
    <w:rsid w:val="004465C8"/>
    <w:rsid w:val="00450321"/>
    <w:rsid w:val="00452187"/>
    <w:rsid w:val="00454ECC"/>
    <w:rsid w:val="00456DC5"/>
    <w:rsid w:val="004579E1"/>
    <w:rsid w:val="00461AB8"/>
    <w:rsid w:val="00463DFA"/>
    <w:rsid w:val="00464325"/>
    <w:rsid w:val="004643A1"/>
    <w:rsid w:val="00464519"/>
    <w:rsid w:val="004652A8"/>
    <w:rsid w:val="00470D0C"/>
    <w:rsid w:val="00470DAA"/>
    <w:rsid w:val="00476CEB"/>
    <w:rsid w:val="00477338"/>
    <w:rsid w:val="00477B1B"/>
    <w:rsid w:val="00480E18"/>
    <w:rsid w:val="00481D69"/>
    <w:rsid w:val="0048249A"/>
    <w:rsid w:val="00482B37"/>
    <w:rsid w:val="00482D44"/>
    <w:rsid w:val="004831A6"/>
    <w:rsid w:val="00484066"/>
    <w:rsid w:val="00490D54"/>
    <w:rsid w:val="00491B6B"/>
    <w:rsid w:val="00491F12"/>
    <w:rsid w:val="00492240"/>
    <w:rsid w:val="00492307"/>
    <w:rsid w:val="00492325"/>
    <w:rsid w:val="00493D7E"/>
    <w:rsid w:val="00494FF5"/>
    <w:rsid w:val="00497EF9"/>
    <w:rsid w:val="004A6EAC"/>
    <w:rsid w:val="004B080D"/>
    <w:rsid w:val="004B10C4"/>
    <w:rsid w:val="004B1F11"/>
    <w:rsid w:val="004B3CF2"/>
    <w:rsid w:val="004B5B02"/>
    <w:rsid w:val="004B6F31"/>
    <w:rsid w:val="004B7738"/>
    <w:rsid w:val="004C0D06"/>
    <w:rsid w:val="004C144B"/>
    <w:rsid w:val="004C4273"/>
    <w:rsid w:val="004C77A7"/>
    <w:rsid w:val="004D1DE5"/>
    <w:rsid w:val="004D2259"/>
    <w:rsid w:val="004D3EA5"/>
    <w:rsid w:val="004D7D12"/>
    <w:rsid w:val="004E45FC"/>
    <w:rsid w:val="004E6A8D"/>
    <w:rsid w:val="004E7347"/>
    <w:rsid w:val="004F4764"/>
    <w:rsid w:val="004F7083"/>
    <w:rsid w:val="004F774D"/>
    <w:rsid w:val="00501210"/>
    <w:rsid w:val="00503568"/>
    <w:rsid w:val="00505815"/>
    <w:rsid w:val="00507D87"/>
    <w:rsid w:val="00510755"/>
    <w:rsid w:val="00512782"/>
    <w:rsid w:val="00513153"/>
    <w:rsid w:val="00513408"/>
    <w:rsid w:val="0051646F"/>
    <w:rsid w:val="00517531"/>
    <w:rsid w:val="005232E1"/>
    <w:rsid w:val="00526845"/>
    <w:rsid w:val="00534A4B"/>
    <w:rsid w:val="00540969"/>
    <w:rsid w:val="0054112C"/>
    <w:rsid w:val="0054130D"/>
    <w:rsid w:val="00544933"/>
    <w:rsid w:val="00544B89"/>
    <w:rsid w:val="0054636B"/>
    <w:rsid w:val="0055125E"/>
    <w:rsid w:val="00551DD1"/>
    <w:rsid w:val="00552899"/>
    <w:rsid w:val="0055393C"/>
    <w:rsid w:val="00560080"/>
    <w:rsid w:val="00561C5D"/>
    <w:rsid w:val="00563AC8"/>
    <w:rsid w:val="00571A66"/>
    <w:rsid w:val="00572074"/>
    <w:rsid w:val="00572357"/>
    <w:rsid w:val="00572CA7"/>
    <w:rsid w:val="00573918"/>
    <w:rsid w:val="005756E3"/>
    <w:rsid w:val="0057585B"/>
    <w:rsid w:val="00576BC2"/>
    <w:rsid w:val="00580732"/>
    <w:rsid w:val="00581EE5"/>
    <w:rsid w:val="00583294"/>
    <w:rsid w:val="00585B79"/>
    <w:rsid w:val="00587162"/>
    <w:rsid w:val="005930E1"/>
    <w:rsid w:val="00596E21"/>
    <w:rsid w:val="00597C35"/>
    <w:rsid w:val="005A1F27"/>
    <w:rsid w:val="005A2079"/>
    <w:rsid w:val="005A2158"/>
    <w:rsid w:val="005A3542"/>
    <w:rsid w:val="005B1CAF"/>
    <w:rsid w:val="005B1E75"/>
    <w:rsid w:val="005B293D"/>
    <w:rsid w:val="005B417B"/>
    <w:rsid w:val="005B4B28"/>
    <w:rsid w:val="005B7FA8"/>
    <w:rsid w:val="005C041D"/>
    <w:rsid w:val="005C09BC"/>
    <w:rsid w:val="005C0CE2"/>
    <w:rsid w:val="005C15AB"/>
    <w:rsid w:val="005C15D3"/>
    <w:rsid w:val="005C3ADC"/>
    <w:rsid w:val="005C729D"/>
    <w:rsid w:val="005D10E4"/>
    <w:rsid w:val="005D6C14"/>
    <w:rsid w:val="005E3151"/>
    <w:rsid w:val="005E6D31"/>
    <w:rsid w:val="005E6E42"/>
    <w:rsid w:val="005F2DD8"/>
    <w:rsid w:val="005F35BE"/>
    <w:rsid w:val="00600112"/>
    <w:rsid w:val="006032FE"/>
    <w:rsid w:val="00605B02"/>
    <w:rsid w:val="0060633E"/>
    <w:rsid w:val="0060648C"/>
    <w:rsid w:val="006103E1"/>
    <w:rsid w:val="006129D6"/>
    <w:rsid w:val="00622559"/>
    <w:rsid w:val="00622E3D"/>
    <w:rsid w:val="00632AD4"/>
    <w:rsid w:val="006332F5"/>
    <w:rsid w:val="00642B7C"/>
    <w:rsid w:val="006432C4"/>
    <w:rsid w:val="00653A0F"/>
    <w:rsid w:val="006565DC"/>
    <w:rsid w:val="006638F3"/>
    <w:rsid w:val="00664479"/>
    <w:rsid w:val="00664ED6"/>
    <w:rsid w:val="00670486"/>
    <w:rsid w:val="00670774"/>
    <w:rsid w:val="0067578E"/>
    <w:rsid w:val="006772C9"/>
    <w:rsid w:val="006775CC"/>
    <w:rsid w:val="00683A55"/>
    <w:rsid w:val="006849D1"/>
    <w:rsid w:val="006851E3"/>
    <w:rsid w:val="006864D2"/>
    <w:rsid w:val="006961D5"/>
    <w:rsid w:val="006A0390"/>
    <w:rsid w:val="006A25D3"/>
    <w:rsid w:val="006A4B60"/>
    <w:rsid w:val="006A62F2"/>
    <w:rsid w:val="006A67AA"/>
    <w:rsid w:val="006B26D0"/>
    <w:rsid w:val="006B4189"/>
    <w:rsid w:val="006B7978"/>
    <w:rsid w:val="006C4328"/>
    <w:rsid w:val="006C66E7"/>
    <w:rsid w:val="006D0F39"/>
    <w:rsid w:val="006D2504"/>
    <w:rsid w:val="006D2C2A"/>
    <w:rsid w:val="006E0BE8"/>
    <w:rsid w:val="006E4D01"/>
    <w:rsid w:val="006E58A3"/>
    <w:rsid w:val="006E5D86"/>
    <w:rsid w:val="006F0211"/>
    <w:rsid w:val="006F0E08"/>
    <w:rsid w:val="006F1D77"/>
    <w:rsid w:val="006F3E8B"/>
    <w:rsid w:val="007002A5"/>
    <w:rsid w:val="00703D28"/>
    <w:rsid w:val="007055B1"/>
    <w:rsid w:val="007060E5"/>
    <w:rsid w:val="00707F97"/>
    <w:rsid w:val="00714FA3"/>
    <w:rsid w:val="007225C8"/>
    <w:rsid w:val="007240BB"/>
    <w:rsid w:val="0072489E"/>
    <w:rsid w:val="00727A2B"/>
    <w:rsid w:val="0073302B"/>
    <w:rsid w:val="007345A4"/>
    <w:rsid w:val="00741289"/>
    <w:rsid w:val="00742FFF"/>
    <w:rsid w:val="00744C69"/>
    <w:rsid w:val="00763028"/>
    <w:rsid w:val="007726DF"/>
    <w:rsid w:val="00774179"/>
    <w:rsid w:val="00774C24"/>
    <w:rsid w:val="007822A4"/>
    <w:rsid w:val="00783830"/>
    <w:rsid w:val="007928F2"/>
    <w:rsid w:val="00794EA1"/>
    <w:rsid w:val="00797858"/>
    <w:rsid w:val="007A42A4"/>
    <w:rsid w:val="007A597F"/>
    <w:rsid w:val="007A6663"/>
    <w:rsid w:val="007A6CA6"/>
    <w:rsid w:val="007B174A"/>
    <w:rsid w:val="007B385B"/>
    <w:rsid w:val="007B573E"/>
    <w:rsid w:val="007C2B13"/>
    <w:rsid w:val="007D2A26"/>
    <w:rsid w:val="007D2AC2"/>
    <w:rsid w:val="007D5D3D"/>
    <w:rsid w:val="007D5DDE"/>
    <w:rsid w:val="007D6A03"/>
    <w:rsid w:val="007E09CB"/>
    <w:rsid w:val="007E4F90"/>
    <w:rsid w:val="007F372D"/>
    <w:rsid w:val="007F53E6"/>
    <w:rsid w:val="007F78B3"/>
    <w:rsid w:val="00801B51"/>
    <w:rsid w:val="00806112"/>
    <w:rsid w:val="00806AB2"/>
    <w:rsid w:val="00816DB6"/>
    <w:rsid w:val="0082022B"/>
    <w:rsid w:val="00823D18"/>
    <w:rsid w:val="0082438C"/>
    <w:rsid w:val="008312E9"/>
    <w:rsid w:val="00832755"/>
    <w:rsid w:val="0083390D"/>
    <w:rsid w:val="00834888"/>
    <w:rsid w:val="0083682C"/>
    <w:rsid w:val="0083774A"/>
    <w:rsid w:val="008405A3"/>
    <w:rsid w:val="00844F60"/>
    <w:rsid w:val="008461FC"/>
    <w:rsid w:val="00847200"/>
    <w:rsid w:val="00851284"/>
    <w:rsid w:val="00851583"/>
    <w:rsid w:val="008547B0"/>
    <w:rsid w:val="008550C4"/>
    <w:rsid w:val="00855429"/>
    <w:rsid w:val="00863F99"/>
    <w:rsid w:val="00870C98"/>
    <w:rsid w:val="00873BBB"/>
    <w:rsid w:val="00877442"/>
    <w:rsid w:val="00881EB2"/>
    <w:rsid w:val="008826F0"/>
    <w:rsid w:val="00883E0A"/>
    <w:rsid w:val="00886673"/>
    <w:rsid w:val="00886F07"/>
    <w:rsid w:val="00892F18"/>
    <w:rsid w:val="008931DB"/>
    <w:rsid w:val="0089411E"/>
    <w:rsid w:val="0089447A"/>
    <w:rsid w:val="008A1A72"/>
    <w:rsid w:val="008A2439"/>
    <w:rsid w:val="008A3BA4"/>
    <w:rsid w:val="008A5A1A"/>
    <w:rsid w:val="008A6144"/>
    <w:rsid w:val="008B200B"/>
    <w:rsid w:val="008B389C"/>
    <w:rsid w:val="008C133D"/>
    <w:rsid w:val="008C2798"/>
    <w:rsid w:val="008C69DC"/>
    <w:rsid w:val="008D1D94"/>
    <w:rsid w:val="008E14C9"/>
    <w:rsid w:val="008E4218"/>
    <w:rsid w:val="008F2E33"/>
    <w:rsid w:val="008F2F6E"/>
    <w:rsid w:val="008F686D"/>
    <w:rsid w:val="00901694"/>
    <w:rsid w:val="009051A8"/>
    <w:rsid w:val="00905630"/>
    <w:rsid w:val="00906FE5"/>
    <w:rsid w:val="009114BA"/>
    <w:rsid w:val="00911DE9"/>
    <w:rsid w:val="00913CBC"/>
    <w:rsid w:val="00920190"/>
    <w:rsid w:val="00921CD9"/>
    <w:rsid w:val="0092234B"/>
    <w:rsid w:val="0092486E"/>
    <w:rsid w:val="00930BAE"/>
    <w:rsid w:val="009335A2"/>
    <w:rsid w:val="009347FC"/>
    <w:rsid w:val="00934A3F"/>
    <w:rsid w:val="00935055"/>
    <w:rsid w:val="00935123"/>
    <w:rsid w:val="00944232"/>
    <w:rsid w:val="00944D42"/>
    <w:rsid w:val="009457F9"/>
    <w:rsid w:val="00945EED"/>
    <w:rsid w:val="009502E7"/>
    <w:rsid w:val="00950437"/>
    <w:rsid w:val="00950FE4"/>
    <w:rsid w:val="00960139"/>
    <w:rsid w:val="00963DEF"/>
    <w:rsid w:val="009672E3"/>
    <w:rsid w:val="00971639"/>
    <w:rsid w:val="00971DEC"/>
    <w:rsid w:val="00971F19"/>
    <w:rsid w:val="0097225E"/>
    <w:rsid w:val="00972295"/>
    <w:rsid w:val="009737D3"/>
    <w:rsid w:val="00976387"/>
    <w:rsid w:val="00976513"/>
    <w:rsid w:val="00977849"/>
    <w:rsid w:val="00980A82"/>
    <w:rsid w:val="00990C9B"/>
    <w:rsid w:val="00994729"/>
    <w:rsid w:val="00995A3F"/>
    <w:rsid w:val="00996EF1"/>
    <w:rsid w:val="009A2739"/>
    <w:rsid w:val="009A426A"/>
    <w:rsid w:val="009A4F3E"/>
    <w:rsid w:val="009B0760"/>
    <w:rsid w:val="009B0CE0"/>
    <w:rsid w:val="009B3747"/>
    <w:rsid w:val="009B52EE"/>
    <w:rsid w:val="009C100E"/>
    <w:rsid w:val="009C3B3F"/>
    <w:rsid w:val="009C43C3"/>
    <w:rsid w:val="009C4C1A"/>
    <w:rsid w:val="009C68C7"/>
    <w:rsid w:val="009D33FB"/>
    <w:rsid w:val="009D4697"/>
    <w:rsid w:val="009E0ABE"/>
    <w:rsid w:val="009E3E2E"/>
    <w:rsid w:val="009E42D1"/>
    <w:rsid w:val="009F0950"/>
    <w:rsid w:val="009F13FE"/>
    <w:rsid w:val="009F6CA3"/>
    <w:rsid w:val="00A01AD6"/>
    <w:rsid w:val="00A06E10"/>
    <w:rsid w:val="00A078AE"/>
    <w:rsid w:val="00A10943"/>
    <w:rsid w:val="00A13565"/>
    <w:rsid w:val="00A2071D"/>
    <w:rsid w:val="00A20755"/>
    <w:rsid w:val="00A22481"/>
    <w:rsid w:val="00A23486"/>
    <w:rsid w:val="00A252DC"/>
    <w:rsid w:val="00A300F8"/>
    <w:rsid w:val="00A33144"/>
    <w:rsid w:val="00A354F7"/>
    <w:rsid w:val="00A35682"/>
    <w:rsid w:val="00A37B4C"/>
    <w:rsid w:val="00A413F6"/>
    <w:rsid w:val="00A44326"/>
    <w:rsid w:val="00A50B9A"/>
    <w:rsid w:val="00A544FD"/>
    <w:rsid w:val="00A5621A"/>
    <w:rsid w:val="00A56FE9"/>
    <w:rsid w:val="00A57F3B"/>
    <w:rsid w:val="00A62E9A"/>
    <w:rsid w:val="00A6523B"/>
    <w:rsid w:val="00A652C3"/>
    <w:rsid w:val="00A6655D"/>
    <w:rsid w:val="00A669A2"/>
    <w:rsid w:val="00A7190B"/>
    <w:rsid w:val="00A73838"/>
    <w:rsid w:val="00A753DD"/>
    <w:rsid w:val="00A77B32"/>
    <w:rsid w:val="00A8528E"/>
    <w:rsid w:val="00A8648B"/>
    <w:rsid w:val="00A8756F"/>
    <w:rsid w:val="00A8759A"/>
    <w:rsid w:val="00A954F9"/>
    <w:rsid w:val="00AA01A7"/>
    <w:rsid w:val="00AA4572"/>
    <w:rsid w:val="00AA48A2"/>
    <w:rsid w:val="00AA6A2F"/>
    <w:rsid w:val="00AB0916"/>
    <w:rsid w:val="00AB487A"/>
    <w:rsid w:val="00AB58CE"/>
    <w:rsid w:val="00AB63BC"/>
    <w:rsid w:val="00AB752F"/>
    <w:rsid w:val="00AB7581"/>
    <w:rsid w:val="00AC0289"/>
    <w:rsid w:val="00AC1CFB"/>
    <w:rsid w:val="00AC552A"/>
    <w:rsid w:val="00AD2AEC"/>
    <w:rsid w:val="00AD4D9D"/>
    <w:rsid w:val="00AD646F"/>
    <w:rsid w:val="00AD6B6F"/>
    <w:rsid w:val="00AD79CC"/>
    <w:rsid w:val="00AD7F00"/>
    <w:rsid w:val="00AE2D11"/>
    <w:rsid w:val="00AE52E9"/>
    <w:rsid w:val="00AF5A3E"/>
    <w:rsid w:val="00AF7176"/>
    <w:rsid w:val="00B01A6E"/>
    <w:rsid w:val="00B03463"/>
    <w:rsid w:val="00B03862"/>
    <w:rsid w:val="00B074FA"/>
    <w:rsid w:val="00B1039B"/>
    <w:rsid w:val="00B10611"/>
    <w:rsid w:val="00B11A91"/>
    <w:rsid w:val="00B13498"/>
    <w:rsid w:val="00B1529B"/>
    <w:rsid w:val="00B17BE3"/>
    <w:rsid w:val="00B309E6"/>
    <w:rsid w:val="00B30E05"/>
    <w:rsid w:val="00B32FFF"/>
    <w:rsid w:val="00B33943"/>
    <w:rsid w:val="00B34436"/>
    <w:rsid w:val="00B37D3D"/>
    <w:rsid w:val="00B41D66"/>
    <w:rsid w:val="00B46BBD"/>
    <w:rsid w:val="00B55939"/>
    <w:rsid w:val="00B56734"/>
    <w:rsid w:val="00B620BA"/>
    <w:rsid w:val="00B63E23"/>
    <w:rsid w:val="00B64FF9"/>
    <w:rsid w:val="00B6705E"/>
    <w:rsid w:val="00B730E0"/>
    <w:rsid w:val="00B742C5"/>
    <w:rsid w:val="00B7431A"/>
    <w:rsid w:val="00B7535C"/>
    <w:rsid w:val="00B771F4"/>
    <w:rsid w:val="00B806AF"/>
    <w:rsid w:val="00B82082"/>
    <w:rsid w:val="00B82192"/>
    <w:rsid w:val="00B8258E"/>
    <w:rsid w:val="00B83094"/>
    <w:rsid w:val="00B84866"/>
    <w:rsid w:val="00B873FA"/>
    <w:rsid w:val="00B90B64"/>
    <w:rsid w:val="00B92375"/>
    <w:rsid w:val="00B9329D"/>
    <w:rsid w:val="00B948FE"/>
    <w:rsid w:val="00BA5DA7"/>
    <w:rsid w:val="00BA6BD7"/>
    <w:rsid w:val="00BB26EE"/>
    <w:rsid w:val="00BB748A"/>
    <w:rsid w:val="00BC06F3"/>
    <w:rsid w:val="00BC60A9"/>
    <w:rsid w:val="00BC656E"/>
    <w:rsid w:val="00BD38B8"/>
    <w:rsid w:val="00BD615B"/>
    <w:rsid w:val="00BD6238"/>
    <w:rsid w:val="00BE3A19"/>
    <w:rsid w:val="00BE4AE0"/>
    <w:rsid w:val="00BE579C"/>
    <w:rsid w:val="00BE5D90"/>
    <w:rsid w:val="00BE60E7"/>
    <w:rsid w:val="00BE7FBB"/>
    <w:rsid w:val="00BF0F53"/>
    <w:rsid w:val="00BF2423"/>
    <w:rsid w:val="00C0018B"/>
    <w:rsid w:val="00C018CA"/>
    <w:rsid w:val="00C02F9C"/>
    <w:rsid w:val="00C046D8"/>
    <w:rsid w:val="00C07180"/>
    <w:rsid w:val="00C077AE"/>
    <w:rsid w:val="00C10F3D"/>
    <w:rsid w:val="00C13502"/>
    <w:rsid w:val="00C14EDE"/>
    <w:rsid w:val="00C167C0"/>
    <w:rsid w:val="00C2006C"/>
    <w:rsid w:val="00C20422"/>
    <w:rsid w:val="00C209CC"/>
    <w:rsid w:val="00C20F64"/>
    <w:rsid w:val="00C24D3D"/>
    <w:rsid w:val="00C25D14"/>
    <w:rsid w:val="00C25E9E"/>
    <w:rsid w:val="00C27509"/>
    <w:rsid w:val="00C321B6"/>
    <w:rsid w:val="00C335DC"/>
    <w:rsid w:val="00C34AB4"/>
    <w:rsid w:val="00C35D60"/>
    <w:rsid w:val="00C36C90"/>
    <w:rsid w:val="00C37D44"/>
    <w:rsid w:val="00C37EB6"/>
    <w:rsid w:val="00C41827"/>
    <w:rsid w:val="00C42E15"/>
    <w:rsid w:val="00C44097"/>
    <w:rsid w:val="00C455FE"/>
    <w:rsid w:val="00C5204F"/>
    <w:rsid w:val="00C53F6D"/>
    <w:rsid w:val="00C61A53"/>
    <w:rsid w:val="00C61BC1"/>
    <w:rsid w:val="00C70723"/>
    <w:rsid w:val="00C726A6"/>
    <w:rsid w:val="00C73BB2"/>
    <w:rsid w:val="00C749F9"/>
    <w:rsid w:val="00C83331"/>
    <w:rsid w:val="00C833E0"/>
    <w:rsid w:val="00C836BA"/>
    <w:rsid w:val="00C8565F"/>
    <w:rsid w:val="00C8635B"/>
    <w:rsid w:val="00C90763"/>
    <w:rsid w:val="00CA0298"/>
    <w:rsid w:val="00CA48EF"/>
    <w:rsid w:val="00CA50D2"/>
    <w:rsid w:val="00CB05BE"/>
    <w:rsid w:val="00CB141A"/>
    <w:rsid w:val="00CB3659"/>
    <w:rsid w:val="00CC2238"/>
    <w:rsid w:val="00CC322A"/>
    <w:rsid w:val="00CC3861"/>
    <w:rsid w:val="00CD136C"/>
    <w:rsid w:val="00CD6B41"/>
    <w:rsid w:val="00CE04D4"/>
    <w:rsid w:val="00CE2E76"/>
    <w:rsid w:val="00CE57A9"/>
    <w:rsid w:val="00CE62DF"/>
    <w:rsid w:val="00CF6343"/>
    <w:rsid w:val="00D030AA"/>
    <w:rsid w:val="00D04762"/>
    <w:rsid w:val="00D06FEA"/>
    <w:rsid w:val="00D11847"/>
    <w:rsid w:val="00D11B7D"/>
    <w:rsid w:val="00D1229E"/>
    <w:rsid w:val="00D1421B"/>
    <w:rsid w:val="00D16EAC"/>
    <w:rsid w:val="00D16F0F"/>
    <w:rsid w:val="00D206C3"/>
    <w:rsid w:val="00D20B9E"/>
    <w:rsid w:val="00D226E9"/>
    <w:rsid w:val="00D23B44"/>
    <w:rsid w:val="00D269D5"/>
    <w:rsid w:val="00D32851"/>
    <w:rsid w:val="00D33058"/>
    <w:rsid w:val="00D34027"/>
    <w:rsid w:val="00D35327"/>
    <w:rsid w:val="00D359F9"/>
    <w:rsid w:val="00D37D15"/>
    <w:rsid w:val="00D4028D"/>
    <w:rsid w:val="00D41F62"/>
    <w:rsid w:val="00D4780F"/>
    <w:rsid w:val="00D52179"/>
    <w:rsid w:val="00D53C92"/>
    <w:rsid w:val="00D57DA0"/>
    <w:rsid w:val="00D57DA7"/>
    <w:rsid w:val="00D57F1D"/>
    <w:rsid w:val="00D60081"/>
    <w:rsid w:val="00D61401"/>
    <w:rsid w:val="00D61628"/>
    <w:rsid w:val="00D62366"/>
    <w:rsid w:val="00D63D4E"/>
    <w:rsid w:val="00D73E84"/>
    <w:rsid w:val="00D74C05"/>
    <w:rsid w:val="00D771DD"/>
    <w:rsid w:val="00D7732A"/>
    <w:rsid w:val="00D774F5"/>
    <w:rsid w:val="00D8458D"/>
    <w:rsid w:val="00D85D89"/>
    <w:rsid w:val="00D8734F"/>
    <w:rsid w:val="00D875DC"/>
    <w:rsid w:val="00D877ED"/>
    <w:rsid w:val="00D90453"/>
    <w:rsid w:val="00D91B4A"/>
    <w:rsid w:val="00D96D4F"/>
    <w:rsid w:val="00D97433"/>
    <w:rsid w:val="00DA1EF2"/>
    <w:rsid w:val="00DA1F88"/>
    <w:rsid w:val="00DA3B22"/>
    <w:rsid w:val="00DA7D1B"/>
    <w:rsid w:val="00DB0123"/>
    <w:rsid w:val="00DB162F"/>
    <w:rsid w:val="00DB1E21"/>
    <w:rsid w:val="00DB3C5A"/>
    <w:rsid w:val="00DB3EA0"/>
    <w:rsid w:val="00DB6221"/>
    <w:rsid w:val="00DB72CC"/>
    <w:rsid w:val="00DC0F5F"/>
    <w:rsid w:val="00DC2FF5"/>
    <w:rsid w:val="00DC37F6"/>
    <w:rsid w:val="00DC3E51"/>
    <w:rsid w:val="00DC57BB"/>
    <w:rsid w:val="00DC6F00"/>
    <w:rsid w:val="00DC776D"/>
    <w:rsid w:val="00DD327A"/>
    <w:rsid w:val="00DD60C9"/>
    <w:rsid w:val="00DE0F87"/>
    <w:rsid w:val="00DE2472"/>
    <w:rsid w:val="00DE4FC7"/>
    <w:rsid w:val="00DE5CF2"/>
    <w:rsid w:val="00DE75C1"/>
    <w:rsid w:val="00DF00DD"/>
    <w:rsid w:val="00DF23CA"/>
    <w:rsid w:val="00DF33F9"/>
    <w:rsid w:val="00DF7392"/>
    <w:rsid w:val="00E00B28"/>
    <w:rsid w:val="00E026E1"/>
    <w:rsid w:val="00E03488"/>
    <w:rsid w:val="00E041A6"/>
    <w:rsid w:val="00E1147E"/>
    <w:rsid w:val="00E1306C"/>
    <w:rsid w:val="00E1652E"/>
    <w:rsid w:val="00E16916"/>
    <w:rsid w:val="00E1755E"/>
    <w:rsid w:val="00E20691"/>
    <w:rsid w:val="00E27C0F"/>
    <w:rsid w:val="00E305B1"/>
    <w:rsid w:val="00E3146D"/>
    <w:rsid w:val="00E318B7"/>
    <w:rsid w:val="00E33085"/>
    <w:rsid w:val="00E34821"/>
    <w:rsid w:val="00E34C82"/>
    <w:rsid w:val="00E357EB"/>
    <w:rsid w:val="00E35804"/>
    <w:rsid w:val="00E362E6"/>
    <w:rsid w:val="00E40184"/>
    <w:rsid w:val="00E40CAC"/>
    <w:rsid w:val="00E44944"/>
    <w:rsid w:val="00E45750"/>
    <w:rsid w:val="00E503C5"/>
    <w:rsid w:val="00E55396"/>
    <w:rsid w:val="00E5739F"/>
    <w:rsid w:val="00E57C46"/>
    <w:rsid w:val="00E61A45"/>
    <w:rsid w:val="00E61CE9"/>
    <w:rsid w:val="00E62711"/>
    <w:rsid w:val="00E6304F"/>
    <w:rsid w:val="00E6341D"/>
    <w:rsid w:val="00E64828"/>
    <w:rsid w:val="00E70074"/>
    <w:rsid w:val="00E72660"/>
    <w:rsid w:val="00E74D01"/>
    <w:rsid w:val="00E7575E"/>
    <w:rsid w:val="00E80D4B"/>
    <w:rsid w:val="00E83E8D"/>
    <w:rsid w:val="00E8780B"/>
    <w:rsid w:val="00E9023B"/>
    <w:rsid w:val="00E91044"/>
    <w:rsid w:val="00E9245C"/>
    <w:rsid w:val="00E948FB"/>
    <w:rsid w:val="00E96866"/>
    <w:rsid w:val="00EA24E4"/>
    <w:rsid w:val="00EA5B86"/>
    <w:rsid w:val="00EA6A3E"/>
    <w:rsid w:val="00EB0084"/>
    <w:rsid w:val="00EB0A6E"/>
    <w:rsid w:val="00EB30E1"/>
    <w:rsid w:val="00EB51AE"/>
    <w:rsid w:val="00EB7500"/>
    <w:rsid w:val="00EB77BB"/>
    <w:rsid w:val="00EC23FA"/>
    <w:rsid w:val="00EC4854"/>
    <w:rsid w:val="00EC4AD5"/>
    <w:rsid w:val="00ED06D6"/>
    <w:rsid w:val="00ED3A41"/>
    <w:rsid w:val="00ED3B05"/>
    <w:rsid w:val="00ED7EE3"/>
    <w:rsid w:val="00EE1D15"/>
    <w:rsid w:val="00EE6120"/>
    <w:rsid w:val="00EE77A6"/>
    <w:rsid w:val="00F05209"/>
    <w:rsid w:val="00F05C9E"/>
    <w:rsid w:val="00F065F4"/>
    <w:rsid w:val="00F07455"/>
    <w:rsid w:val="00F07699"/>
    <w:rsid w:val="00F12603"/>
    <w:rsid w:val="00F1379E"/>
    <w:rsid w:val="00F146A4"/>
    <w:rsid w:val="00F16FFD"/>
    <w:rsid w:val="00F216D3"/>
    <w:rsid w:val="00F24B6B"/>
    <w:rsid w:val="00F25C38"/>
    <w:rsid w:val="00F26A6F"/>
    <w:rsid w:val="00F32215"/>
    <w:rsid w:val="00F32617"/>
    <w:rsid w:val="00F36A7D"/>
    <w:rsid w:val="00F41E78"/>
    <w:rsid w:val="00F46FF6"/>
    <w:rsid w:val="00F47508"/>
    <w:rsid w:val="00F50783"/>
    <w:rsid w:val="00F5335B"/>
    <w:rsid w:val="00F55693"/>
    <w:rsid w:val="00F5610C"/>
    <w:rsid w:val="00F5616E"/>
    <w:rsid w:val="00F62E76"/>
    <w:rsid w:val="00F64BE7"/>
    <w:rsid w:val="00F67AF8"/>
    <w:rsid w:val="00F67D02"/>
    <w:rsid w:val="00F70258"/>
    <w:rsid w:val="00F736A5"/>
    <w:rsid w:val="00F7678B"/>
    <w:rsid w:val="00F804DD"/>
    <w:rsid w:val="00F829C1"/>
    <w:rsid w:val="00F82BE2"/>
    <w:rsid w:val="00F86B78"/>
    <w:rsid w:val="00F877B5"/>
    <w:rsid w:val="00F93B4E"/>
    <w:rsid w:val="00F95B4D"/>
    <w:rsid w:val="00F97A0B"/>
    <w:rsid w:val="00F97E92"/>
    <w:rsid w:val="00FA6539"/>
    <w:rsid w:val="00FB2297"/>
    <w:rsid w:val="00FB2804"/>
    <w:rsid w:val="00FB31E1"/>
    <w:rsid w:val="00FB7520"/>
    <w:rsid w:val="00FB7CBA"/>
    <w:rsid w:val="00FC1251"/>
    <w:rsid w:val="00FC464F"/>
    <w:rsid w:val="00FC4745"/>
    <w:rsid w:val="00FC59D3"/>
    <w:rsid w:val="00FD0C65"/>
    <w:rsid w:val="00FD284C"/>
    <w:rsid w:val="00FD2E52"/>
    <w:rsid w:val="00FE1D09"/>
    <w:rsid w:val="00FE2CF5"/>
    <w:rsid w:val="00FE4CE7"/>
    <w:rsid w:val="00FE53F5"/>
    <w:rsid w:val="00FE58B7"/>
    <w:rsid w:val="00FF1410"/>
    <w:rsid w:val="00FF21E8"/>
    <w:rsid w:val="00FF28A9"/>
    <w:rsid w:val="00FF2B7E"/>
    <w:rsid w:val="00FF4C9B"/>
    <w:rsid w:val="00FF596D"/>
    <w:rsid w:val="00FF63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B38B9"/>
  <w15:docId w15:val="{99BFFAE3-3541-4D59-9865-6F53FBF4A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semiHidden="1" w:unhideWhenUsed="1" w:qFormat="1"/>
    <w:lsdException w:name="heading 6" w:semiHidden="1" w:unhideWhenUsed="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Bullet" w:semiHidden="1" w:unhideWhenUsed="1" w:qFormat="1"/>
    <w:lsdException w:name="List Number" w:semiHidden="1" w:uiPriority="99" w:unhideWhenUsed="1"/>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semiHidden="1" w:uiPriority="99" w:unhideWhenUsed="1"/>
    <w:lsdException w:name="Title" w:uiPriority="99"/>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locked="1"/>
    <w:lsdException w:name="Emphasis" w:uiPriority="99"/>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lsdException w:name="Intense Emphasis" w:uiPriority="99"/>
    <w:lsdException w:name="Subtle Reference" w:uiPriority="99"/>
    <w:lsdException w:name="Intense Reference" w:uiPriority="99"/>
    <w:lsdException w:name="Book Title" w:uiPriority="99"/>
    <w:lsdException w:name="Bibliography" w:semiHidden="1" w:uiPriority="9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qFormat/>
    <w:rsid w:val="004B5B02"/>
    <w:pPr>
      <w:spacing w:before="180" w:after="60"/>
    </w:pPr>
    <w:rPr>
      <w:rFonts w:ascii="Arial" w:hAnsi="Arial"/>
      <w:color w:val="000000" w:themeColor="text1"/>
      <w:sz w:val="22"/>
      <w:szCs w:val="22"/>
      <w:lang w:eastAsia="en-GB"/>
    </w:rPr>
  </w:style>
  <w:style w:type="paragraph" w:styleId="Heading1">
    <w:name w:val="heading 1"/>
    <w:aliases w:val="CS IBM-Heading 1"/>
    <w:basedOn w:val="Normal"/>
    <w:next w:val="CS-IBMResponseText"/>
    <w:autoRedefine/>
    <w:uiPriority w:val="99"/>
    <w:rsid w:val="00664479"/>
    <w:pPr>
      <w:keepNext/>
      <w:pageBreakBefore/>
      <w:numPr>
        <w:numId w:val="21"/>
      </w:numPr>
      <w:tabs>
        <w:tab w:val="left" w:pos="0"/>
        <w:tab w:val="left" w:pos="720"/>
      </w:tabs>
      <w:spacing w:before="0" w:after="240"/>
      <w:jc w:val="center"/>
      <w:outlineLvl w:val="0"/>
    </w:pPr>
    <w:rPr>
      <w:rFonts w:ascii="Century Gothic" w:hAnsi="Century Gothic" w:cs="Arial"/>
      <w:b/>
      <w:color w:val="0070C0"/>
      <w:sz w:val="44"/>
      <w:szCs w:val="48"/>
    </w:rPr>
  </w:style>
  <w:style w:type="paragraph" w:styleId="Heading2">
    <w:name w:val="heading 2"/>
    <w:aliases w:val="CS IBM-Heading 2"/>
    <w:basedOn w:val="Normal"/>
    <w:next w:val="CS-IBMResponseText"/>
    <w:uiPriority w:val="99"/>
    <w:qFormat/>
    <w:rsid w:val="00D875DC"/>
    <w:pPr>
      <w:keepNext/>
      <w:numPr>
        <w:ilvl w:val="1"/>
        <w:numId w:val="21"/>
      </w:numPr>
      <w:tabs>
        <w:tab w:val="left" w:pos="0"/>
        <w:tab w:val="left" w:pos="720"/>
      </w:tabs>
      <w:spacing w:before="300" w:after="120"/>
      <w:outlineLvl w:val="1"/>
    </w:pPr>
    <w:rPr>
      <w:rFonts w:ascii="Century Gothic" w:hAnsi="Century Gothic" w:cs="Arial"/>
      <w:color w:val="008BFF"/>
      <w:sz w:val="36"/>
      <w:szCs w:val="40"/>
    </w:rPr>
  </w:style>
  <w:style w:type="paragraph" w:styleId="Heading3">
    <w:name w:val="heading 3"/>
    <w:aliases w:val="CS IBM-Heading 3"/>
    <w:basedOn w:val="Normal"/>
    <w:next w:val="CS-IBMResponseText"/>
    <w:uiPriority w:val="99"/>
    <w:qFormat/>
    <w:rsid w:val="003E58D5"/>
    <w:pPr>
      <w:keepNext/>
      <w:numPr>
        <w:ilvl w:val="2"/>
        <w:numId w:val="21"/>
      </w:numPr>
      <w:tabs>
        <w:tab w:val="left" w:pos="0"/>
      </w:tabs>
      <w:spacing w:before="240" w:after="120"/>
      <w:outlineLvl w:val="2"/>
    </w:pPr>
    <w:rPr>
      <w:rFonts w:ascii="Century Gothic" w:hAnsi="Century Gothic" w:cs="Arial"/>
      <w:color w:val="106288"/>
      <w:sz w:val="32"/>
      <w:szCs w:val="36"/>
    </w:rPr>
  </w:style>
  <w:style w:type="paragraph" w:styleId="Heading4">
    <w:name w:val="heading 4"/>
    <w:aliases w:val="CS IBM-Heading 4"/>
    <w:basedOn w:val="Normal"/>
    <w:next w:val="CS-IBMResponseText"/>
    <w:uiPriority w:val="99"/>
    <w:qFormat/>
    <w:rsid w:val="003E58D5"/>
    <w:pPr>
      <w:keepNext/>
      <w:numPr>
        <w:ilvl w:val="3"/>
        <w:numId w:val="21"/>
      </w:numPr>
      <w:tabs>
        <w:tab w:val="left" w:pos="0"/>
        <w:tab w:val="left" w:pos="720"/>
      </w:tabs>
      <w:spacing w:before="300" w:after="120"/>
      <w:jc w:val="both"/>
      <w:outlineLvl w:val="3"/>
    </w:pPr>
    <w:rPr>
      <w:rFonts w:ascii="Century Gothic" w:hAnsi="Century Gothic" w:cs="Arial"/>
      <w:i/>
      <w:color w:val="348180"/>
      <w:sz w:val="32"/>
      <w:szCs w:val="32"/>
    </w:rPr>
  </w:style>
  <w:style w:type="paragraph" w:styleId="Heading5">
    <w:name w:val="heading 5"/>
    <w:basedOn w:val="Normal"/>
    <w:next w:val="Normal"/>
    <w:uiPriority w:val="99"/>
    <w:qFormat/>
    <w:rsid w:val="00A56FE9"/>
    <w:pPr>
      <w:numPr>
        <w:ilvl w:val="4"/>
        <w:numId w:val="21"/>
      </w:numPr>
      <w:spacing w:before="300" w:after="120"/>
      <w:jc w:val="both"/>
      <w:outlineLvl w:val="4"/>
    </w:pPr>
    <w:rPr>
      <w:rFonts w:ascii="IBM Plex Sans" w:hAnsi="IBM Plex Sans" w:cs="Arial"/>
      <w:b/>
      <w:color w:val="808080" w:themeColor="background1" w:themeShade="80"/>
      <w:szCs w:val="28"/>
    </w:rPr>
  </w:style>
  <w:style w:type="paragraph" w:styleId="Heading6">
    <w:name w:val="heading 6"/>
    <w:basedOn w:val="Heading5"/>
    <w:next w:val="Normal"/>
    <w:uiPriority w:val="99"/>
    <w:rsid w:val="009335A2"/>
    <w:pPr>
      <w:numPr>
        <w:ilvl w:val="5"/>
      </w:numPr>
      <w:outlineLvl w:val="5"/>
    </w:pPr>
    <w:rPr>
      <w:bCs/>
      <w:i/>
      <w:color w:val="2A0A18"/>
      <w:szCs w:val="26"/>
    </w:rPr>
  </w:style>
  <w:style w:type="paragraph" w:styleId="Heading7">
    <w:name w:val="heading 7"/>
    <w:basedOn w:val="Heading6"/>
    <w:next w:val="Normal"/>
    <w:uiPriority w:val="99"/>
    <w:qFormat/>
    <w:rsid w:val="009335A2"/>
    <w:pPr>
      <w:numPr>
        <w:ilvl w:val="6"/>
      </w:numPr>
      <w:outlineLvl w:val="6"/>
    </w:pPr>
    <w:rPr>
      <w:bCs w:val="0"/>
      <w:i w:val="0"/>
      <w:color w:val="565151"/>
      <w:szCs w:val="24"/>
      <w:u w:val="single"/>
    </w:rPr>
  </w:style>
  <w:style w:type="paragraph" w:styleId="Heading8">
    <w:name w:val="heading 8"/>
    <w:basedOn w:val="Heading7"/>
    <w:next w:val="Normal"/>
    <w:uiPriority w:val="99"/>
    <w:rsid w:val="001A372E"/>
    <w:pPr>
      <w:numPr>
        <w:ilvl w:val="7"/>
      </w:numPr>
      <w:outlineLvl w:val="7"/>
    </w:pPr>
    <w:rPr>
      <w:i/>
      <w:u w:val="none"/>
    </w:rPr>
  </w:style>
  <w:style w:type="paragraph" w:styleId="Heading9">
    <w:name w:val="heading 9"/>
    <w:basedOn w:val="Heading8"/>
    <w:next w:val="Normal"/>
    <w:uiPriority w:val="99"/>
    <w:rsid w:val="001A372E"/>
    <w:pPr>
      <w:numPr>
        <w:ilvl w:val="8"/>
      </w:numPr>
      <w:outlineLvl w:val="8"/>
    </w:pPr>
    <w:rPr>
      <w:i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semiHidden/>
    <w:rsid w:val="002C48F8"/>
    <w:pPr>
      <w:numPr>
        <w:numId w:val="1"/>
      </w:numPr>
    </w:pPr>
  </w:style>
  <w:style w:type="paragraph" w:customStyle="1" w:styleId="CS-IBMTemplateStyleGuidedonotuseforresponse">
    <w:name w:val="CS-IBM Template Style Guide (do not use for response)"/>
    <w:basedOn w:val="CS-IBMResponseText"/>
    <w:qFormat/>
    <w:rsid w:val="00464519"/>
    <w:rPr>
      <w:b/>
      <w:bCs/>
      <w:i/>
      <w:color w:val="FF0000"/>
      <w:sz w:val="20"/>
    </w:rPr>
  </w:style>
  <w:style w:type="numbering" w:styleId="1ai">
    <w:name w:val="Outline List 1"/>
    <w:basedOn w:val="NoList"/>
    <w:semiHidden/>
    <w:rsid w:val="002C48F8"/>
    <w:pPr>
      <w:numPr>
        <w:numId w:val="2"/>
      </w:numPr>
    </w:pPr>
  </w:style>
  <w:style w:type="numbering" w:styleId="ArticleSection">
    <w:name w:val="Outline List 3"/>
    <w:basedOn w:val="NoList"/>
    <w:semiHidden/>
    <w:rsid w:val="002C48F8"/>
    <w:pPr>
      <w:numPr>
        <w:numId w:val="3"/>
      </w:numPr>
    </w:pPr>
  </w:style>
  <w:style w:type="paragraph" w:styleId="BlockText">
    <w:name w:val="Block Text"/>
    <w:basedOn w:val="Normal"/>
    <w:uiPriority w:val="99"/>
    <w:semiHidden/>
    <w:rsid w:val="00D60081"/>
    <w:pPr>
      <w:ind w:left="1440" w:right="1440"/>
    </w:pPr>
  </w:style>
  <w:style w:type="paragraph" w:styleId="BodyText2">
    <w:name w:val="Body Text 2"/>
    <w:basedOn w:val="Normal"/>
    <w:uiPriority w:val="99"/>
    <w:semiHidden/>
    <w:rsid w:val="00D60081"/>
    <w:pPr>
      <w:spacing w:line="480" w:lineRule="auto"/>
    </w:pPr>
  </w:style>
  <w:style w:type="paragraph" w:styleId="BodyText3">
    <w:name w:val="Body Text 3"/>
    <w:basedOn w:val="Normal"/>
    <w:uiPriority w:val="99"/>
    <w:semiHidden/>
    <w:rsid w:val="00D60081"/>
    <w:rPr>
      <w:sz w:val="16"/>
      <w:szCs w:val="16"/>
    </w:rPr>
  </w:style>
  <w:style w:type="paragraph" w:styleId="BodyTextFirstIndent">
    <w:name w:val="Body Text First Indent"/>
    <w:basedOn w:val="Normal"/>
    <w:uiPriority w:val="99"/>
    <w:semiHidden/>
    <w:rsid w:val="00A56FE9"/>
    <w:pPr>
      <w:spacing w:before="120" w:after="120"/>
      <w:ind w:firstLine="210"/>
      <w:jc w:val="both"/>
    </w:pPr>
    <w:rPr>
      <w:rFonts w:ascii="IBM Plex Sans" w:hAnsi="IBM Plex Sans" w:cs="Arial"/>
      <w:szCs w:val="21"/>
    </w:rPr>
  </w:style>
  <w:style w:type="paragraph" w:styleId="BodyTextFirstIndent2">
    <w:name w:val="Body Text First Indent 2"/>
    <w:basedOn w:val="Normal"/>
    <w:uiPriority w:val="99"/>
    <w:semiHidden/>
    <w:rsid w:val="00FE53F5"/>
    <w:pPr>
      <w:ind w:firstLine="210"/>
    </w:pPr>
  </w:style>
  <w:style w:type="paragraph" w:styleId="BodyTextIndent2">
    <w:name w:val="Body Text Indent 2"/>
    <w:basedOn w:val="Normal"/>
    <w:uiPriority w:val="99"/>
    <w:semiHidden/>
    <w:unhideWhenUsed/>
    <w:rsid w:val="00D60081"/>
    <w:pPr>
      <w:spacing w:line="480" w:lineRule="auto"/>
      <w:ind w:left="283"/>
    </w:pPr>
  </w:style>
  <w:style w:type="paragraph" w:styleId="BodyTextIndent3">
    <w:name w:val="Body Text Indent 3"/>
    <w:basedOn w:val="Normal"/>
    <w:uiPriority w:val="99"/>
    <w:semiHidden/>
    <w:unhideWhenUsed/>
    <w:rsid w:val="00D60081"/>
    <w:pPr>
      <w:ind w:left="283"/>
    </w:pPr>
    <w:rPr>
      <w:sz w:val="16"/>
      <w:szCs w:val="16"/>
    </w:rPr>
  </w:style>
  <w:style w:type="paragraph" w:styleId="Closing">
    <w:name w:val="Closing"/>
    <w:basedOn w:val="Normal"/>
    <w:uiPriority w:val="99"/>
    <w:semiHidden/>
    <w:rsid w:val="00D60081"/>
    <w:pPr>
      <w:ind w:left="4252"/>
    </w:pPr>
  </w:style>
  <w:style w:type="paragraph" w:styleId="Date">
    <w:name w:val="Date"/>
    <w:basedOn w:val="Normal"/>
    <w:next w:val="Normal"/>
    <w:uiPriority w:val="99"/>
    <w:semiHidden/>
    <w:rsid w:val="00D60081"/>
  </w:style>
  <w:style w:type="paragraph" w:styleId="E-mailSignature">
    <w:name w:val="E-mail Signature"/>
    <w:basedOn w:val="Normal"/>
    <w:uiPriority w:val="99"/>
    <w:semiHidden/>
    <w:rsid w:val="00D60081"/>
  </w:style>
  <w:style w:type="paragraph" w:customStyle="1" w:styleId="CS-IBMTableColumnHeader">
    <w:name w:val="CS-IBM Table Column Header"/>
    <w:basedOn w:val="CS-IBMResponseText"/>
    <w:qFormat/>
    <w:rsid w:val="00464519"/>
    <w:pPr>
      <w:spacing w:before="60" w:after="60"/>
      <w:jc w:val="center"/>
    </w:pPr>
    <w:rPr>
      <w:b/>
      <w:color w:val="FFFFFF" w:themeColor="background1"/>
      <w:szCs w:val="18"/>
    </w:rPr>
  </w:style>
  <w:style w:type="paragraph" w:styleId="EnvelopeAddress">
    <w:name w:val="envelope address"/>
    <w:basedOn w:val="Normal"/>
    <w:uiPriority w:val="99"/>
    <w:semiHidden/>
    <w:rsid w:val="00D60081"/>
    <w:pPr>
      <w:framePr w:w="7920" w:h="1980" w:hRule="exact" w:hSpace="180" w:wrap="auto" w:hAnchor="page" w:xAlign="center" w:yAlign="bottom"/>
      <w:ind w:left="2880"/>
    </w:pPr>
    <w:rPr>
      <w:rFonts w:cs="Arial"/>
      <w:sz w:val="24"/>
      <w:szCs w:val="24"/>
    </w:rPr>
  </w:style>
  <w:style w:type="paragraph" w:styleId="EnvelopeReturn">
    <w:name w:val="envelope return"/>
    <w:basedOn w:val="Normal"/>
    <w:uiPriority w:val="99"/>
    <w:semiHidden/>
    <w:rsid w:val="00D60081"/>
    <w:rPr>
      <w:rFonts w:cs="Arial"/>
      <w:sz w:val="20"/>
      <w:szCs w:val="20"/>
    </w:rPr>
  </w:style>
  <w:style w:type="character" w:styleId="FollowedHyperlink">
    <w:name w:val="FollowedHyperlink"/>
    <w:uiPriority w:val="99"/>
    <w:semiHidden/>
    <w:rsid w:val="00D60081"/>
    <w:rPr>
      <w:color w:val="800080"/>
      <w:u w:val="single"/>
    </w:rPr>
  </w:style>
  <w:style w:type="paragraph" w:styleId="Footer">
    <w:name w:val="footer"/>
    <w:basedOn w:val="CS-IBMHeader"/>
    <w:next w:val="Closing"/>
    <w:link w:val="FooterChar"/>
    <w:uiPriority w:val="99"/>
    <w:rsid w:val="00D57F1D"/>
    <w:pPr>
      <w:pBdr>
        <w:top w:val="single" w:sz="4" w:space="5" w:color="auto"/>
        <w:bottom w:val="none" w:sz="0" w:space="0" w:color="auto"/>
      </w:pBdr>
      <w:tabs>
        <w:tab w:val="center" w:pos="4680"/>
        <w:tab w:val="right" w:pos="9360"/>
      </w:tabs>
      <w:spacing w:before="120"/>
      <w:jc w:val="both"/>
    </w:pPr>
    <w:rPr>
      <w:szCs w:val="21"/>
    </w:rPr>
  </w:style>
  <w:style w:type="paragraph" w:styleId="Header">
    <w:name w:val="header"/>
    <w:basedOn w:val="Normal"/>
    <w:uiPriority w:val="99"/>
    <w:rsid w:val="00A56FE9"/>
    <w:pPr>
      <w:pBdr>
        <w:bottom w:val="single" w:sz="4" w:space="2" w:color="auto"/>
      </w:pBdr>
      <w:tabs>
        <w:tab w:val="right" w:pos="9360"/>
      </w:tabs>
      <w:spacing w:before="120" w:after="0"/>
      <w:jc w:val="both"/>
    </w:pPr>
    <w:rPr>
      <w:rFonts w:ascii="IBM Plex Sans" w:hAnsi="IBM Plex Sans" w:cs="Arial"/>
      <w:szCs w:val="21"/>
    </w:rPr>
  </w:style>
  <w:style w:type="character" w:styleId="HTMLAcronym">
    <w:name w:val="HTML Acronym"/>
    <w:basedOn w:val="DefaultParagraphFont"/>
    <w:uiPriority w:val="99"/>
    <w:semiHidden/>
    <w:rsid w:val="00D60081"/>
  </w:style>
  <w:style w:type="paragraph" w:styleId="HTMLAddress">
    <w:name w:val="HTML Address"/>
    <w:basedOn w:val="Normal"/>
    <w:uiPriority w:val="99"/>
    <w:semiHidden/>
    <w:rsid w:val="00D60081"/>
    <w:rPr>
      <w:i/>
      <w:iCs/>
    </w:rPr>
  </w:style>
  <w:style w:type="character" w:styleId="HTMLCite">
    <w:name w:val="HTML Cite"/>
    <w:uiPriority w:val="99"/>
    <w:semiHidden/>
    <w:rsid w:val="00D60081"/>
    <w:rPr>
      <w:i/>
      <w:iCs/>
    </w:rPr>
  </w:style>
  <w:style w:type="character" w:styleId="HTMLCode">
    <w:name w:val="HTML Code"/>
    <w:uiPriority w:val="99"/>
    <w:semiHidden/>
    <w:rsid w:val="00D60081"/>
    <w:rPr>
      <w:rFonts w:ascii="Courier New" w:hAnsi="Courier New" w:cs="Courier New"/>
      <w:sz w:val="20"/>
      <w:szCs w:val="20"/>
    </w:rPr>
  </w:style>
  <w:style w:type="character" w:styleId="HTMLDefinition">
    <w:name w:val="HTML Definition"/>
    <w:uiPriority w:val="99"/>
    <w:semiHidden/>
    <w:rsid w:val="00D60081"/>
    <w:rPr>
      <w:i/>
      <w:iCs/>
    </w:rPr>
  </w:style>
  <w:style w:type="character" w:styleId="HTMLKeyboard">
    <w:name w:val="HTML Keyboard"/>
    <w:uiPriority w:val="99"/>
    <w:semiHidden/>
    <w:rsid w:val="00D60081"/>
    <w:rPr>
      <w:rFonts w:ascii="Courier New" w:hAnsi="Courier New" w:cs="Courier New"/>
      <w:sz w:val="20"/>
      <w:szCs w:val="20"/>
    </w:rPr>
  </w:style>
  <w:style w:type="paragraph" w:styleId="HTMLPreformatted">
    <w:name w:val="HTML Preformatted"/>
    <w:basedOn w:val="Normal"/>
    <w:uiPriority w:val="99"/>
    <w:semiHidden/>
    <w:rsid w:val="00D60081"/>
    <w:rPr>
      <w:rFonts w:ascii="Courier New" w:hAnsi="Courier New" w:cs="Courier New"/>
      <w:sz w:val="20"/>
      <w:szCs w:val="20"/>
    </w:rPr>
  </w:style>
  <w:style w:type="character" w:styleId="HTMLSample">
    <w:name w:val="HTML Sample"/>
    <w:uiPriority w:val="99"/>
    <w:semiHidden/>
    <w:rsid w:val="00D60081"/>
    <w:rPr>
      <w:rFonts w:ascii="Courier New" w:hAnsi="Courier New" w:cs="Courier New"/>
    </w:rPr>
  </w:style>
  <w:style w:type="character" w:styleId="HTMLTypewriter">
    <w:name w:val="HTML Typewriter"/>
    <w:uiPriority w:val="99"/>
    <w:semiHidden/>
    <w:rsid w:val="00D60081"/>
    <w:rPr>
      <w:rFonts w:ascii="Courier New" w:hAnsi="Courier New" w:cs="Courier New"/>
      <w:sz w:val="20"/>
      <w:szCs w:val="20"/>
    </w:rPr>
  </w:style>
  <w:style w:type="character" w:styleId="HTMLVariable">
    <w:name w:val="HTML Variable"/>
    <w:uiPriority w:val="99"/>
    <w:semiHidden/>
    <w:rsid w:val="00D60081"/>
    <w:rPr>
      <w:i/>
      <w:iCs/>
    </w:rPr>
  </w:style>
  <w:style w:type="character" w:styleId="Hyperlink">
    <w:name w:val="Hyperlink"/>
    <w:uiPriority w:val="99"/>
    <w:rsid w:val="001C6D47"/>
    <w:rPr>
      <w:rFonts w:ascii="Century Gothic" w:hAnsi="Century Gothic"/>
      <w:color w:val="000000" w:themeColor="text1"/>
      <w:sz w:val="22"/>
      <w:u w:val="none"/>
    </w:rPr>
  </w:style>
  <w:style w:type="character" w:styleId="LineNumber">
    <w:name w:val="line number"/>
    <w:basedOn w:val="DefaultParagraphFont"/>
    <w:uiPriority w:val="99"/>
    <w:semiHidden/>
    <w:rsid w:val="00D60081"/>
  </w:style>
  <w:style w:type="paragraph" w:styleId="List4">
    <w:name w:val="List 4"/>
    <w:basedOn w:val="Normal"/>
    <w:uiPriority w:val="99"/>
    <w:semiHidden/>
    <w:rsid w:val="00D60081"/>
    <w:pPr>
      <w:ind w:left="1132" w:hanging="283"/>
    </w:pPr>
  </w:style>
  <w:style w:type="paragraph" w:styleId="List5">
    <w:name w:val="List 5"/>
    <w:basedOn w:val="Normal"/>
    <w:uiPriority w:val="99"/>
    <w:semiHidden/>
    <w:rsid w:val="00D60081"/>
    <w:pPr>
      <w:ind w:left="1415" w:hanging="283"/>
    </w:pPr>
  </w:style>
  <w:style w:type="paragraph" w:styleId="ListContinue">
    <w:name w:val="List Continue"/>
    <w:basedOn w:val="Normal"/>
    <w:uiPriority w:val="99"/>
    <w:semiHidden/>
    <w:rsid w:val="00D60081"/>
    <w:pPr>
      <w:ind w:left="283"/>
    </w:pPr>
  </w:style>
  <w:style w:type="paragraph" w:styleId="ListContinue2">
    <w:name w:val="List Continue 2"/>
    <w:basedOn w:val="Normal"/>
    <w:uiPriority w:val="99"/>
    <w:semiHidden/>
    <w:rsid w:val="00D60081"/>
    <w:pPr>
      <w:ind w:left="566"/>
    </w:pPr>
  </w:style>
  <w:style w:type="paragraph" w:styleId="ListContinue3">
    <w:name w:val="List Continue 3"/>
    <w:basedOn w:val="Normal"/>
    <w:uiPriority w:val="99"/>
    <w:semiHidden/>
    <w:rsid w:val="00D60081"/>
    <w:pPr>
      <w:ind w:left="849"/>
    </w:pPr>
  </w:style>
  <w:style w:type="paragraph" w:styleId="ListContinue4">
    <w:name w:val="List Continue 4"/>
    <w:basedOn w:val="Normal"/>
    <w:uiPriority w:val="99"/>
    <w:semiHidden/>
    <w:rsid w:val="00D60081"/>
    <w:pPr>
      <w:ind w:left="1132"/>
    </w:pPr>
  </w:style>
  <w:style w:type="paragraph" w:styleId="ListContinue5">
    <w:name w:val="List Continue 5"/>
    <w:basedOn w:val="Normal"/>
    <w:uiPriority w:val="99"/>
    <w:semiHidden/>
    <w:rsid w:val="00D60081"/>
    <w:pPr>
      <w:ind w:left="1415"/>
    </w:pPr>
  </w:style>
  <w:style w:type="paragraph" w:styleId="MessageHeader">
    <w:name w:val="Message Header"/>
    <w:basedOn w:val="Normal"/>
    <w:uiPriority w:val="99"/>
    <w:semiHidden/>
    <w:rsid w:val="00D60081"/>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ormalWeb">
    <w:name w:val="Normal (Web)"/>
    <w:basedOn w:val="Normal"/>
    <w:uiPriority w:val="99"/>
    <w:semiHidden/>
    <w:rsid w:val="00D60081"/>
    <w:rPr>
      <w:rFonts w:ascii="Times New Roman" w:hAnsi="Times New Roman"/>
      <w:sz w:val="24"/>
      <w:szCs w:val="24"/>
    </w:rPr>
  </w:style>
  <w:style w:type="paragraph" w:styleId="NormalIndent">
    <w:name w:val="Normal Indent"/>
    <w:basedOn w:val="Normal"/>
    <w:uiPriority w:val="99"/>
    <w:semiHidden/>
    <w:rsid w:val="00D60081"/>
    <w:pPr>
      <w:ind w:left="720"/>
    </w:pPr>
  </w:style>
  <w:style w:type="paragraph" w:styleId="NoteHeading">
    <w:name w:val="Note Heading"/>
    <w:basedOn w:val="Normal"/>
    <w:next w:val="Normal"/>
    <w:uiPriority w:val="99"/>
    <w:semiHidden/>
    <w:rsid w:val="00D60081"/>
  </w:style>
  <w:style w:type="character" w:styleId="PageNumber">
    <w:name w:val="page number"/>
    <w:basedOn w:val="DefaultParagraphFont"/>
    <w:uiPriority w:val="99"/>
    <w:semiHidden/>
    <w:rsid w:val="00D60081"/>
  </w:style>
  <w:style w:type="paragraph" w:styleId="PlainText">
    <w:name w:val="Plain Text"/>
    <w:basedOn w:val="Normal"/>
    <w:uiPriority w:val="99"/>
    <w:semiHidden/>
    <w:rsid w:val="00D60081"/>
    <w:rPr>
      <w:rFonts w:ascii="Courier New" w:hAnsi="Courier New" w:cs="Courier New"/>
      <w:sz w:val="20"/>
      <w:szCs w:val="20"/>
    </w:rPr>
  </w:style>
  <w:style w:type="paragraph" w:styleId="Salutation">
    <w:name w:val="Salutation"/>
    <w:basedOn w:val="Normal"/>
    <w:next w:val="Normal"/>
    <w:uiPriority w:val="99"/>
    <w:semiHidden/>
    <w:rsid w:val="00D60081"/>
  </w:style>
  <w:style w:type="paragraph" w:styleId="Signature">
    <w:name w:val="Signature"/>
    <w:basedOn w:val="Normal"/>
    <w:uiPriority w:val="99"/>
    <w:semiHidden/>
    <w:rsid w:val="00D60081"/>
    <w:pPr>
      <w:ind w:left="4252"/>
    </w:pPr>
  </w:style>
  <w:style w:type="table" w:customStyle="1" w:styleId="TableGridLight1">
    <w:name w:val="Table Grid Light1"/>
    <w:basedOn w:val="TableNormal"/>
    <w:uiPriority w:val="40"/>
    <w:rsid w:val="00D16EAC"/>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3Deffects1">
    <w:name w:val="Table 3D effects 1"/>
    <w:basedOn w:val="TableNormal"/>
    <w:semiHidden/>
    <w:rsid w:val="00D60081"/>
    <w:pPr>
      <w:spacing w:before="240" w:after="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D60081"/>
    <w:pPr>
      <w:spacing w:before="240" w:after="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D60081"/>
    <w:pPr>
      <w:spacing w:before="240" w:after="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D60081"/>
    <w:pPr>
      <w:spacing w:before="240" w:after="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D60081"/>
    <w:pPr>
      <w:spacing w:before="240" w:after="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D60081"/>
    <w:pPr>
      <w:spacing w:before="240" w:after="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D60081"/>
    <w:pPr>
      <w:spacing w:before="240" w:after="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D60081"/>
    <w:pPr>
      <w:spacing w:before="240" w:after="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D60081"/>
    <w:pPr>
      <w:spacing w:before="240" w:after="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D60081"/>
    <w:pPr>
      <w:spacing w:before="240" w:after="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D60081"/>
    <w:pPr>
      <w:spacing w:before="240" w:after="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D60081"/>
    <w:pPr>
      <w:spacing w:before="240" w:after="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D60081"/>
    <w:pPr>
      <w:spacing w:before="240" w:after="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D60081"/>
    <w:pPr>
      <w:spacing w:before="240" w:after="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D60081"/>
    <w:pPr>
      <w:spacing w:before="240" w:after="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D60081"/>
    <w:pPr>
      <w:spacing w:before="240" w:after="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D60081"/>
    <w:pPr>
      <w:spacing w:before="240" w:after="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E62DF"/>
    <w:pPr>
      <w:spacing w:before="60" w:after="60"/>
    </w:pPr>
    <w:rPr>
      <w:rFonts w:ascii="Arial" w:hAnsi="Arial"/>
      <w:sz w:val="18"/>
      <w:szCs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val="0"/>
        <w:i w:val="0"/>
        <w:sz w:val="18"/>
        <w:szCs w:val="19"/>
      </w:rPr>
      <w:tblPr/>
      <w:tcPr>
        <w:tcBorders>
          <w:top w:val="single" w:sz="4" w:space="0" w:color="auto"/>
          <w:left w:val="single" w:sz="4" w:space="0" w:color="auto"/>
          <w:bottom w:val="single" w:sz="12" w:space="0" w:color="auto"/>
          <w:right w:val="single" w:sz="4" w:space="0" w:color="auto"/>
          <w:insideH w:val="single" w:sz="4" w:space="0" w:color="auto"/>
          <w:insideV w:val="single" w:sz="4" w:space="0" w:color="auto"/>
          <w:tl2br w:val="nil"/>
          <w:tr2bl w:val="nil"/>
        </w:tcBorders>
      </w:tcPr>
    </w:tblStylePr>
    <w:tblStylePr w:type="lastRow">
      <w:rPr>
        <w:rFonts w:ascii="Arial" w:hAnsi="Arial"/>
        <w:sz w:val="18"/>
      </w:rPr>
      <w:tblPr/>
      <w:tcPr>
        <w:tcBorders>
          <w:top w:val="single" w:sz="12" w:space="0" w:color="auto"/>
          <w:left w:val="single" w:sz="4" w:space="0" w:color="auto"/>
          <w:bottom w:val="single" w:sz="4" w:space="0" w:color="auto"/>
          <w:right w:val="single" w:sz="4" w:space="0" w:color="auto"/>
          <w:insideH w:val="nil"/>
          <w:insideV w:val="single" w:sz="4" w:space="0" w:color="auto"/>
          <w:tl2br w:val="nil"/>
          <w:tr2bl w:val="nil"/>
        </w:tcBorders>
      </w:tcPr>
    </w:tblStylePr>
  </w:style>
  <w:style w:type="table" w:styleId="TableGrid1">
    <w:name w:val="Table Grid 1"/>
    <w:basedOn w:val="TableNormal"/>
    <w:semiHidden/>
    <w:rsid w:val="00D60081"/>
    <w:pPr>
      <w:spacing w:before="24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D60081"/>
    <w:pPr>
      <w:spacing w:before="240" w:after="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D60081"/>
    <w:pPr>
      <w:spacing w:before="240" w:after="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D60081"/>
    <w:pPr>
      <w:spacing w:before="240" w:after="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D60081"/>
    <w:pPr>
      <w:spacing w:before="24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D60081"/>
    <w:pPr>
      <w:spacing w:before="240" w:after="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D60081"/>
    <w:pPr>
      <w:spacing w:before="24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D60081"/>
    <w:pPr>
      <w:spacing w:before="240" w:after="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D60081"/>
    <w:pPr>
      <w:spacing w:before="240" w:after="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D60081"/>
    <w:pPr>
      <w:spacing w:before="240" w:after="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D60081"/>
    <w:pPr>
      <w:spacing w:before="240" w:after="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D60081"/>
    <w:pPr>
      <w:spacing w:before="240" w:after="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D60081"/>
    <w:pPr>
      <w:spacing w:before="240" w:after="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D60081"/>
    <w:pPr>
      <w:spacing w:before="240" w:after="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D60081"/>
    <w:pPr>
      <w:spacing w:before="240" w:after="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D60081"/>
    <w:pPr>
      <w:spacing w:before="240" w:after="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D60081"/>
    <w:pPr>
      <w:spacing w:before="24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D60081"/>
    <w:pPr>
      <w:spacing w:before="240" w:after="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D60081"/>
    <w:pPr>
      <w:spacing w:before="240" w:after="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D60081"/>
    <w:pPr>
      <w:spacing w:before="240" w:after="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D60081"/>
    <w:pPr>
      <w:spacing w:before="240" w:after="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D60081"/>
    <w:pPr>
      <w:spacing w:before="240" w:after="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D60081"/>
    <w:pPr>
      <w:spacing w:before="24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D60081"/>
    <w:pPr>
      <w:spacing w:before="240" w:after="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D60081"/>
    <w:pPr>
      <w:spacing w:before="240" w:after="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D60081"/>
    <w:pPr>
      <w:spacing w:before="240" w:after="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2">
    <w:name w:val="List 2"/>
    <w:basedOn w:val="Normal"/>
    <w:uiPriority w:val="99"/>
    <w:semiHidden/>
    <w:rsid w:val="00D60081"/>
    <w:pPr>
      <w:ind w:left="566" w:hanging="283"/>
    </w:pPr>
  </w:style>
  <w:style w:type="paragraph" w:styleId="List">
    <w:name w:val="List"/>
    <w:basedOn w:val="Normal"/>
    <w:uiPriority w:val="99"/>
    <w:semiHidden/>
    <w:rsid w:val="00D60081"/>
    <w:pPr>
      <w:ind w:left="283" w:hanging="283"/>
    </w:pPr>
  </w:style>
  <w:style w:type="paragraph" w:styleId="List3">
    <w:name w:val="List 3"/>
    <w:uiPriority w:val="99"/>
    <w:semiHidden/>
    <w:rsid w:val="002C48F8"/>
    <w:pPr>
      <w:numPr>
        <w:numId w:val="4"/>
      </w:numPr>
    </w:pPr>
    <w:rPr>
      <w:rFonts w:ascii="Arial" w:hAnsi="Arial"/>
      <w:sz w:val="21"/>
      <w:szCs w:val="21"/>
      <w:lang w:eastAsia="en-GB"/>
    </w:rPr>
  </w:style>
  <w:style w:type="paragraph" w:customStyle="1" w:styleId="CS-IBMHeader">
    <w:name w:val="CS-IBM Header"/>
    <w:qFormat/>
    <w:rsid w:val="003E58D5"/>
    <w:pPr>
      <w:pBdr>
        <w:bottom w:val="single" w:sz="12" w:space="4" w:color="808080" w:themeColor="background1" w:themeShade="80"/>
      </w:pBdr>
      <w:spacing w:after="120"/>
    </w:pPr>
    <w:rPr>
      <w:rFonts w:ascii="Century Gothic" w:hAnsi="Century Gothic" w:cs="Arial"/>
      <w:noProof/>
      <w:color w:val="0E3152"/>
      <w:sz w:val="18"/>
      <w:szCs w:val="16"/>
      <w:lang w:eastAsia="en-GB"/>
    </w:rPr>
  </w:style>
  <w:style w:type="table" w:customStyle="1" w:styleId="BasicTable">
    <w:name w:val="Basic Table"/>
    <w:basedOn w:val="TableNormal"/>
    <w:rsid w:val="00CE62DF"/>
    <w:pPr>
      <w:widowControl w:val="0"/>
      <w:adjustRightInd w:val="0"/>
      <w:spacing w:before="120" w:after="120"/>
      <w:textAlignment w:val="baseline"/>
    </w:pPr>
    <w:rPr>
      <w:rFonts w:ascii="Arial" w:eastAsia="MS Mincho" w:hAnsi="Arial"/>
      <w:sz w:val="18"/>
    </w:rPr>
    <w:tblPr>
      <w:tblBorders>
        <w:top w:val="single" w:sz="8" w:space="0" w:color="808080"/>
        <w:bottom w:val="single" w:sz="8" w:space="0" w:color="808080"/>
        <w:insideH w:val="single" w:sz="6" w:space="0" w:color="808080"/>
      </w:tblBorders>
    </w:tblPr>
    <w:tcPr>
      <w:shd w:val="clear" w:color="auto" w:fill="auto"/>
      <w:vAlign w:val="center"/>
    </w:tcPr>
    <w:tblStylePr w:type="firstRow">
      <w:rPr>
        <w:rFonts w:ascii="Nimrod" w:hAnsi="Nimrod"/>
        <w:b/>
        <w:bCs/>
        <w:i w:val="0"/>
        <w:color w:val="333333"/>
        <w:sz w:val="20"/>
      </w:rPr>
      <w:tblPr/>
      <w:tcPr>
        <w:tcBorders>
          <w:top w:val="nil"/>
          <w:left w:val="nil"/>
          <w:bottom w:val="single" w:sz="12" w:space="0" w:color="808080"/>
          <w:right w:val="nil"/>
          <w:insideH w:val="nil"/>
          <w:insideV w:val="nil"/>
          <w:tl2br w:val="nil"/>
          <w:tr2bl w:val="nil"/>
        </w:tcBorders>
        <w:shd w:val="clear" w:color="auto" w:fill="auto"/>
      </w:tcPr>
    </w:tblStylePr>
    <w:tblStylePr w:type="lastRow">
      <w:rPr>
        <w:rFonts w:ascii="Nimrod" w:hAnsi="Nimrod"/>
        <w:b/>
        <w:i w:val="0"/>
        <w:color w:val="auto"/>
        <w:sz w:val="20"/>
      </w:rPr>
      <w:tblPr/>
      <w:tcPr>
        <w:tcBorders>
          <w:top w:val="single" w:sz="12" w:space="0" w:color="808080"/>
        </w:tcBorders>
        <w:shd w:val="clear" w:color="auto" w:fill="auto"/>
      </w:tcPr>
    </w:tblStylePr>
    <w:tblStylePr w:type="swCell">
      <w:rPr>
        <w:rFonts w:ascii="Nimrod" w:hAnsi="Nimrod"/>
        <w:b/>
        <w:i/>
        <w:iCs/>
        <w:color w:val="auto"/>
        <w:sz w:val="20"/>
      </w:rPr>
      <w:tblPr/>
      <w:tcPr>
        <w:tcBorders>
          <w:tl2br w:val="none" w:sz="0" w:space="0" w:color="auto"/>
          <w:tr2bl w:val="none" w:sz="0" w:space="0" w:color="auto"/>
        </w:tcBorders>
      </w:tcPr>
    </w:tblStylePr>
  </w:style>
  <w:style w:type="character" w:styleId="Strong">
    <w:name w:val="Strong"/>
    <w:uiPriority w:val="99"/>
    <w:semiHidden/>
    <w:locked/>
    <w:rsid w:val="00197132"/>
    <w:rPr>
      <w:b/>
      <w:bCs/>
    </w:rPr>
  </w:style>
  <w:style w:type="paragraph" w:styleId="TableofFigures">
    <w:name w:val="table of figures"/>
    <w:basedOn w:val="CS-IBMResponseText"/>
    <w:next w:val="CS-IBMResponseText"/>
    <w:uiPriority w:val="99"/>
    <w:rsid w:val="00B03463"/>
    <w:pPr>
      <w:spacing w:before="180" w:after="60"/>
    </w:pPr>
  </w:style>
  <w:style w:type="paragraph" w:customStyle="1" w:styleId="CS-IBMTOCforTOCTitleonly">
    <w:name w:val="CS-IBM TOC (for TOC Title only)"/>
    <w:qFormat/>
    <w:rsid w:val="00A753DD"/>
    <w:pPr>
      <w:jc w:val="center"/>
    </w:pPr>
    <w:rPr>
      <w:rFonts w:ascii="Arial" w:hAnsi="Arial" w:cs="Arial"/>
      <w:color w:val="0070C0"/>
      <w:sz w:val="44"/>
      <w:szCs w:val="44"/>
      <w:lang w:eastAsia="en-GB"/>
    </w:rPr>
  </w:style>
  <w:style w:type="paragraph" w:styleId="TOC1">
    <w:name w:val="toc 1"/>
    <w:basedOn w:val="CS-IBMResponseText"/>
    <w:next w:val="CS-IBMResponseText"/>
    <w:uiPriority w:val="39"/>
    <w:qFormat/>
    <w:rsid w:val="001B3A39"/>
    <w:pPr>
      <w:tabs>
        <w:tab w:val="left" w:pos="360"/>
        <w:tab w:val="right" w:leader="dot" w:pos="9361"/>
      </w:tabs>
      <w:ind w:left="360" w:hanging="360"/>
      <w:jc w:val="both"/>
    </w:pPr>
    <w:rPr>
      <w:b/>
      <w:noProof/>
      <w:color w:val="106288"/>
    </w:rPr>
  </w:style>
  <w:style w:type="paragraph" w:styleId="TOC2">
    <w:name w:val="toc 2"/>
    <w:basedOn w:val="TOC1"/>
    <w:uiPriority w:val="39"/>
    <w:qFormat/>
    <w:rsid w:val="004B5B02"/>
    <w:pPr>
      <w:spacing w:before="0" w:after="0"/>
      <w:ind w:left="1077" w:hanging="720"/>
    </w:pPr>
    <w:rPr>
      <w:b w:val="0"/>
      <w:color w:val="auto"/>
    </w:rPr>
  </w:style>
  <w:style w:type="paragraph" w:styleId="TOC3">
    <w:name w:val="toc 3"/>
    <w:basedOn w:val="TOC2"/>
    <w:uiPriority w:val="39"/>
    <w:qFormat/>
    <w:rsid w:val="001B3A39"/>
    <w:pPr>
      <w:tabs>
        <w:tab w:val="left" w:leader="dot" w:pos="1800"/>
      </w:tabs>
      <w:ind w:left="1800"/>
    </w:pPr>
    <w:rPr>
      <w:lang w:val="en-GB"/>
    </w:rPr>
  </w:style>
  <w:style w:type="paragraph" w:styleId="TOC4">
    <w:name w:val="toc 4"/>
    <w:basedOn w:val="TOC3"/>
    <w:uiPriority w:val="39"/>
    <w:rsid w:val="004B5B02"/>
    <w:pPr>
      <w:ind w:left="1792" w:hanging="357"/>
    </w:pPr>
  </w:style>
  <w:style w:type="paragraph" w:styleId="TOC5">
    <w:name w:val="toc 5"/>
    <w:basedOn w:val="TOC3"/>
    <w:next w:val="Normal"/>
    <w:uiPriority w:val="99"/>
    <w:semiHidden/>
    <w:rsid w:val="00D60081"/>
  </w:style>
  <w:style w:type="paragraph" w:styleId="TOC6">
    <w:name w:val="toc 6"/>
    <w:basedOn w:val="TOC5"/>
    <w:next w:val="Normal"/>
    <w:uiPriority w:val="99"/>
    <w:semiHidden/>
    <w:rsid w:val="00D60081"/>
  </w:style>
  <w:style w:type="paragraph" w:styleId="TOC7">
    <w:name w:val="toc 7"/>
    <w:basedOn w:val="TOC5"/>
    <w:next w:val="Normal"/>
    <w:uiPriority w:val="99"/>
    <w:semiHidden/>
    <w:rsid w:val="00D60081"/>
  </w:style>
  <w:style w:type="paragraph" w:styleId="TOC8">
    <w:name w:val="toc 8"/>
    <w:basedOn w:val="TOC5"/>
    <w:next w:val="Normal"/>
    <w:uiPriority w:val="99"/>
    <w:semiHidden/>
    <w:rsid w:val="00D60081"/>
  </w:style>
  <w:style w:type="paragraph" w:styleId="TOC9">
    <w:name w:val="toc 9"/>
    <w:basedOn w:val="TOC5"/>
    <w:next w:val="Normal"/>
    <w:uiPriority w:val="99"/>
    <w:semiHidden/>
    <w:rsid w:val="00D60081"/>
  </w:style>
  <w:style w:type="character" w:styleId="EndnoteReference">
    <w:name w:val="endnote reference"/>
    <w:uiPriority w:val="99"/>
    <w:semiHidden/>
    <w:rsid w:val="00D60081"/>
    <w:rPr>
      <w:rFonts w:ascii="Arial Bold" w:hAnsi="Arial Bold"/>
      <w:b/>
      <w:sz w:val="18"/>
      <w:szCs w:val="18"/>
      <w:vertAlign w:val="superscript"/>
    </w:rPr>
  </w:style>
  <w:style w:type="paragraph" w:styleId="EndnoteText">
    <w:name w:val="endnote text"/>
    <w:basedOn w:val="Normal"/>
    <w:uiPriority w:val="99"/>
    <w:rsid w:val="00E318B7"/>
    <w:pPr>
      <w:spacing w:before="240"/>
    </w:pPr>
    <w:rPr>
      <w:i/>
      <w:sz w:val="16"/>
      <w:szCs w:val="16"/>
    </w:rPr>
  </w:style>
  <w:style w:type="character" w:styleId="FootnoteReference">
    <w:name w:val="footnote reference"/>
    <w:uiPriority w:val="99"/>
    <w:semiHidden/>
    <w:rsid w:val="00D60081"/>
    <w:rPr>
      <w:rFonts w:ascii="Arial Bold" w:hAnsi="Arial Bold"/>
      <w:b/>
      <w:sz w:val="18"/>
      <w:szCs w:val="18"/>
      <w:vertAlign w:val="superscript"/>
    </w:rPr>
  </w:style>
  <w:style w:type="paragraph" w:styleId="FootnoteText">
    <w:name w:val="footnote text"/>
    <w:basedOn w:val="Normal"/>
    <w:uiPriority w:val="99"/>
    <w:rsid w:val="00E318B7"/>
    <w:pPr>
      <w:spacing w:before="240"/>
    </w:pPr>
    <w:rPr>
      <w:i/>
      <w:sz w:val="16"/>
      <w:szCs w:val="16"/>
    </w:rPr>
  </w:style>
  <w:style w:type="paragraph" w:styleId="MacroText">
    <w:name w:val="macro"/>
    <w:link w:val="MacroTextChar"/>
    <w:uiPriority w:val="99"/>
    <w:semiHidden/>
    <w:unhideWhenUsed/>
    <w:rsid w:val="00BF0F53"/>
    <w:pPr>
      <w:tabs>
        <w:tab w:val="left" w:pos="480"/>
        <w:tab w:val="left" w:pos="960"/>
        <w:tab w:val="left" w:pos="1440"/>
        <w:tab w:val="left" w:pos="1920"/>
        <w:tab w:val="left" w:pos="2400"/>
        <w:tab w:val="left" w:pos="2880"/>
        <w:tab w:val="left" w:pos="3360"/>
        <w:tab w:val="left" w:pos="3840"/>
        <w:tab w:val="left" w:pos="4320"/>
      </w:tabs>
      <w:spacing w:before="120" w:after="120"/>
    </w:pPr>
    <w:rPr>
      <w:rFonts w:ascii="Courier New" w:hAnsi="Courier New" w:cs="Courier New"/>
      <w:lang w:eastAsia="en-GB"/>
    </w:rPr>
  </w:style>
  <w:style w:type="character" w:customStyle="1" w:styleId="MacroTextChar">
    <w:name w:val="Macro Text Char"/>
    <w:link w:val="MacroText"/>
    <w:uiPriority w:val="99"/>
    <w:semiHidden/>
    <w:rsid w:val="000E0AF2"/>
    <w:rPr>
      <w:rFonts w:ascii="Courier New" w:hAnsi="Courier New" w:cs="Courier New"/>
      <w:lang w:eastAsia="en-GB"/>
    </w:rPr>
  </w:style>
  <w:style w:type="paragraph" w:customStyle="1" w:styleId="CS-RFPBodyText">
    <w:name w:val="CS-RFP Body Text"/>
    <w:basedOn w:val="CS-IBMResponseText"/>
    <w:link w:val="CS-RFPBodyTextChar"/>
    <w:qFormat/>
    <w:rsid w:val="00464519"/>
    <w:rPr>
      <w:color w:val="0070C0"/>
    </w:rPr>
  </w:style>
  <w:style w:type="paragraph" w:customStyle="1" w:styleId="CS-RFPBullet1">
    <w:name w:val="CS-RFP Bullet 1"/>
    <w:basedOn w:val="CS-IBMBullet1"/>
    <w:link w:val="CS-RFPBullet1Char"/>
    <w:qFormat/>
    <w:rsid w:val="00464519"/>
    <w:pPr>
      <w:numPr>
        <w:numId w:val="6"/>
      </w:numPr>
    </w:pPr>
    <w:rPr>
      <w:color w:val="0070C0"/>
    </w:rPr>
  </w:style>
  <w:style w:type="paragraph" w:customStyle="1" w:styleId="CS-RFPBullet2">
    <w:name w:val="CS-RFP Bullet 2"/>
    <w:basedOn w:val="CS-RFPBullet1"/>
    <w:link w:val="CS-RFPBullet2Char"/>
    <w:qFormat/>
    <w:rsid w:val="00464519"/>
    <w:pPr>
      <w:numPr>
        <w:numId w:val="9"/>
      </w:numPr>
      <w:ind w:left="714" w:hanging="357"/>
    </w:pPr>
  </w:style>
  <w:style w:type="paragraph" w:customStyle="1" w:styleId="CS-RFPBullet3">
    <w:name w:val="CS-RFP Bullet 3"/>
    <w:basedOn w:val="CS-RFPBullet2"/>
    <w:link w:val="CS-RFPBullet3Char"/>
    <w:qFormat/>
    <w:rsid w:val="00B03463"/>
    <w:pPr>
      <w:numPr>
        <w:numId w:val="8"/>
      </w:numPr>
    </w:pPr>
  </w:style>
  <w:style w:type="paragraph" w:customStyle="1" w:styleId="CS-RFPBullet4">
    <w:name w:val="CS-RFP Bullet 4"/>
    <w:basedOn w:val="CS-RFPBullet3"/>
    <w:link w:val="CS-RFPBullet4Char"/>
    <w:qFormat/>
    <w:rsid w:val="00B03463"/>
    <w:pPr>
      <w:numPr>
        <w:numId w:val="10"/>
      </w:numPr>
    </w:pPr>
  </w:style>
  <w:style w:type="paragraph" w:customStyle="1" w:styleId="CS-RFPBullet5">
    <w:name w:val="CS-RFP Bullet 5"/>
    <w:basedOn w:val="CS-RFPBullet4"/>
    <w:link w:val="CS-RFPBullet5Char"/>
    <w:qFormat/>
    <w:rsid w:val="00464519"/>
    <w:pPr>
      <w:numPr>
        <w:numId w:val="5"/>
      </w:numPr>
    </w:pPr>
  </w:style>
  <w:style w:type="paragraph" w:customStyle="1" w:styleId="DividerPageText">
    <w:name w:val="Divider Page Text"/>
    <w:basedOn w:val="Normal"/>
    <w:uiPriority w:val="99"/>
    <w:qFormat/>
    <w:rsid w:val="00A56FE9"/>
    <w:pPr>
      <w:spacing w:before="120" w:after="120"/>
      <w:ind w:left="90" w:hanging="90"/>
      <w:jc w:val="center"/>
    </w:pPr>
    <w:rPr>
      <w:rFonts w:ascii="Calibri Light" w:hAnsi="Calibri Light" w:cs="Arial"/>
      <w:color w:val="FFFFFF"/>
      <w:sz w:val="64"/>
      <w:szCs w:val="64"/>
    </w:rPr>
  </w:style>
  <w:style w:type="paragraph" w:customStyle="1" w:styleId="CS-ThemeStatementText">
    <w:name w:val="CS-Theme Statement Text"/>
    <w:basedOn w:val="Normal"/>
    <w:qFormat/>
    <w:rsid w:val="001B3A39"/>
    <w:pPr>
      <w:spacing w:before="240" w:after="0"/>
      <w:jc w:val="center"/>
    </w:pPr>
    <w:rPr>
      <w:rFonts w:cs="Arial"/>
      <w:i/>
      <w:iCs/>
      <w:color w:val="348180"/>
      <w:sz w:val="28"/>
      <w:szCs w:val="25"/>
    </w:rPr>
  </w:style>
  <w:style w:type="paragraph" w:customStyle="1" w:styleId="CS-IBMTableText">
    <w:name w:val="CS-IBM Table Text"/>
    <w:basedOn w:val="CS-IBMResponseText"/>
    <w:qFormat/>
    <w:rsid w:val="00464519"/>
    <w:pPr>
      <w:spacing w:before="60" w:after="60"/>
    </w:pPr>
    <w:rPr>
      <w:color w:val="000000" w:themeColor="text1"/>
    </w:rPr>
  </w:style>
  <w:style w:type="paragraph" w:customStyle="1" w:styleId="CS-IBMTableBullet">
    <w:name w:val="CS-IBM Table Bullet"/>
    <w:basedOn w:val="CS-IBMBullet1"/>
    <w:qFormat/>
    <w:rsid w:val="00464519"/>
    <w:pPr>
      <w:numPr>
        <w:numId w:val="16"/>
      </w:numPr>
      <w:ind w:left="357" w:hanging="357"/>
    </w:pPr>
  </w:style>
  <w:style w:type="character" w:styleId="CommentReference">
    <w:name w:val="annotation reference"/>
    <w:uiPriority w:val="99"/>
    <w:semiHidden/>
    <w:unhideWhenUsed/>
    <w:rsid w:val="00B13498"/>
    <w:rPr>
      <w:sz w:val="18"/>
      <w:szCs w:val="18"/>
    </w:rPr>
  </w:style>
  <w:style w:type="paragraph" w:styleId="CommentText">
    <w:name w:val="annotation text"/>
    <w:basedOn w:val="Normal"/>
    <w:link w:val="CommentTextChar"/>
    <w:uiPriority w:val="99"/>
    <w:semiHidden/>
    <w:unhideWhenUsed/>
    <w:rsid w:val="00B13498"/>
    <w:rPr>
      <w:sz w:val="24"/>
      <w:szCs w:val="24"/>
    </w:rPr>
  </w:style>
  <w:style w:type="character" w:customStyle="1" w:styleId="CommentTextChar">
    <w:name w:val="Comment Text Char"/>
    <w:link w:val="CommentText"/>
    <w:uiPriority w:val="99"/>
    <w:semiHidden/>
    <w:rsid w:val="000E0AF2"/>
    <w:rPr>
      <w:rFonts w:ascii="Arial" w:hAnsi="Arial"/>
      <w:color w:val="42474C"/>
      <w:sz w:val="24"/>
      <w:szCs w:val="24"/>
      <w:lang w:eastAsia="en-GB"/>
    </w:rPr>
  </w:style>
  <w:style w:type="paragraph" w:styleId="CommentSubject">
    <w:name w:val="annotation subject"/>
    <w:basedOn w:val="CommentText"/>
    <w:next w:val="CommentText"/>
    <w:link w:val="CommentSubjectChar"/>
    <w:uiPriority w:val="99"/>
    <w:semiHidden/>
    <w:unhideWhenUsed/>
    <w:rsid w:val="00B13498"/>
    <w:rPr>
      <w:b/>
      <w:bCs/>
      <w:sz w:val="20"/>
      <w:szCs w:val="20"/>
    </w:rPr>
  </w:style>
  <w:style w:type="character" w:customStyle="1" w:styleId="CommentSubjectChar">
    <w:name w:val="Comment Subject Char"/>
    <w:link w:val="CommentSubject"/>
    <w:uiPriority w:val="99"/>
    <w:semiHidden/>
    <w:rsid w:val="000E0AF2"/>
    <w:rPr>
      <w:rFonts w:ascii="Arial" w:hAnsi="Arial"/>
      <w:b/>
      <w:bCs/>
      <w:color w:val="42474C"/>
      <w:lang w:eastAsia="en-GB"/>
    </w:rPr>
  </w:style>
  <w:style w:type="paragraph" w:styleId="BalloonText">
    <w:name w:val="Balloon Text"/>
    <w:basedOn w:val="Normal"/>
    <w:link w:val="BalloonTextChar"/>
    <w:uiPriority w:val="99"/>
    <w:semiHidden/>
    <w:unhideWhenUsed/>
    <w:rsid w:val="00B13498"/>
    <w:pPr>
      <w:spacing w:before="0" w:after="0"/>
    </w:pPr>
    <w:rPr>
      <w:rFonts w:ascii="Times New Roman" w:hAnsi="Times New Roman"/>
      <w:sz w:val="18"/>
      <w:szCs w:val="18"/>
    </w:rPr>
  </w:style>
  <w:style w:type="character" w:customStyle="1" w:styleId="BalloonTextChar">
    <w:name w:val="Balloon Text Char"/>
    <w:link w:val="BalloonText"/>
    <w:uiPriority w:val="99"/>
    <w:semiHidden/>
    <w:rsid w:val="000E0AF2"/>
    <w:rPr>
      <w:color w:val="42474C"/>
      <w:sz w:val="18"/>
      <w:szCs w:val="18"/>
      <w:lang w:eastAsia="en-GB"/>
    </w:rPr>
  </w:style>
  <w:style w:type="paragraph" w:styleId="TOCHeading">
    <w:name w:val="TOC Heading"/>
    <w:basedOn w:val="Heading1"/>
    <w:next w:val="Normal"/>
    <w:uiPriority w:val="99"/>
    <w:semiHidden/>
    <w:unhideWhenUsed/>
    <w:qFormat/>
    <w:rsid w:val="0033139A"/>
    <w:pPr>
      <w:keepLines/>
      <w:pageBreakBefore w:val="0"/>
      <w:tabs>
        <w:tab w:val="clear" w:pos="0"/>
        <w:tab w:val="clear" w:pos="720"/>
      </w:tabs>
      <w:spacing w:before="480" w:after="0" w:line="276" w:lineRule="auto"/>
      <w:jc w:val="left"/>
      <w:outlineLvl w:val="9"/>
    </w:pPr>
    <w:rPr>
      <w:rFonts w:ascii="Cambria" w:hAnsi="Cambria" w:cs="Times New Roman"/>
      <w:b w:val="0"/>
      <w:bCs/>
      <w:color w:val="002F4E"/>
      <w:sz w:val="28"/>
      <w:szCs w:val="28"/>
      <w:lang w:eastAsia="ja-JP"/>
    </w:rPr>
  </w:style>
  <w:style w:type="paragraph" w:customStyle="1" w:styleId="CS-RFPNumber4">
    <w:name w:val="CS-RFP Number 4"/>
    <w:basedOn w:val="CS-RFPNumber3"/>
    <w:link w:val="CS-RFPNumber4Char"/>
    <w:qFormat/>
    <w:rsid w:val="00B03463"/>
    <w:pPr>
      <w:ind w:left="1434"/>
    </w:pPr>
  </w:style>
  <w:style w:type="paragraph" w:styleId="ListBullet">
    <w:name w:val="List Bullet"/>
    <w:basedOn w:val="Normal"/>
    <w:uiPriority w:val="99"/>
    <w:semiHidden/>
    <w:unhideWhenUsed/>
    <w:qFormat/>
    <w:rsid w:val="009A2739"/>
    <w:pPr>
      <w:numPr>
        <w:numId w:val="7"/>
      </w:numPr>
      <w:contextualSpacing/>
    </w:pPr>
  </w:style>
  <w:style w:type="paragraph" w:customStyle="1" w:styleId="CS-RFPNumber1">
    <w:name w:val="CS-RFP Number 1"/>
    <w:basedOn w:val="CS-IBMNumber1"/>
    <w:link w:val="CS-RFPNumber1Char"/>
    <w:autoRedefine/>
    <w:qFormat/>
    <w:rsid w:val="00B03463"/>
    <w:rPr>
      <w:color w:val="0070C0"/>
    </w:rPr>
  </w:style>
  <w:style w:type="character" w:customStyle="1" w:styleId="CS-RFPNumber4Char">
    <w:name w:val="CS-RFP Number 4 Char"/>
    <w:link w:val="CS-RFPNumber4"/>
    <w:rsid w:val="00B03463"/>
    <w:rPr>
      <w:rFonts w:ascii="Arial" w:hAnsi="Arial" w:cs="Arial"/>
      <w:color w:val="0070C0"/>
      <w:sz w:val="22"/>
      <w:szCs w:val="21"/>
      <w:lang w:eastAsia="en-GB"/>
    </w:rPr>
  </w:style>
  <w:style w:type="paragraph" w:customStyle="1" w:styleId="CS-RFPNumber2">
    <w:name w:val="CS-RFP Number 2"/>
    <w:basedOn w:val="CS-RFPNumber1"/>
    <w:link w:val="CS-RFPNumber2Char"/>
    <w:qFormat/>
    <w:rsid w:val="00B03463"/>
    <w:pPr>
      <w:ind w:left="714"/>
    </w:pPr>
  </w:style>
  <w:style w:type="character" w:customStyle="1" w:styleId="CS-RFPNumber1Char">
    <w:name w:val="CS-RFP Number 1 Char"/>
    <w:link w:val="CS-RFPNumber1"/>
    <w:rsid w:val="00B03463"/>
    <w:rPr>
      <w:rFonts w:ascii="Arial" w:hAnsi="Arial" w:cs="Arial"/>
      <w:color w:val="0070C0"/>
      <w:sz w:val="22"/>
      <w:szCs w:val="21"/>
      <w:lang w:eastAsia="en-GB"/>
    </w:rPr>
  </w:style>
  <w:style w:type="paragraph" w:customStyle="1" w:styleId="CS-RFPNumber3">
    <w:name w:val="CS-RFP Number 3"/>
    <w:basedOn w:val="CS-RFPNumber2"/>
    <w:link w:val="CS-RFPNumber3Char"/>
    <w:qFormat/>
    <w:rsid w:val="00B03463"/>
    <w:pPr>
      <w:ind w:left="1077"/>
    </w:pPr>
  </w:style>
  <w:style w:type="character" w:customStyle="1" w:styleId="CS-RFPNumber2Char">
    <w:name w:val="CS-RFP Number 2 Char"/>
    <w:link w:val="CS-RFPNumber2"/>
    <w:rsid w:val="00B03463"/>
    <w:rPr>
      <w:rFonts w:ascii="Arial" w:hAnsi="Arial" w:cs="Arial"/>
      <w:color w:val="0070C0"/>
      <w:sz w:val="22"/>
      <w:szCs w:val="21"/>
      <w:lang w:eastAsia="en-GB"/>
    </w:rPr>
  </w:style>
  <w:style w:type="paragraph" w:customStyle="1" w:styleId="CS-RFPNumber5">
    <w:name w:val="CS-RFP Number 5"/>
    <w:basedOn w:val="CS-RFPNumber4"/>
    <w:link w:val="CS-RFPNumber5Char"/>
    <w:qFormat/>
    <w:rsid w:val="00B03463"/>
    <w:pPr>
      <w:ind w:left="1707" w:hanging="272"/>
    </w:pPr>
  </w:style>
  <w:style w:type="character" w:customStyle="1" w:styleId="CS-RFPNumber3Char">
    <w:name w:val="CS-RFP Number 3 Char"/>
    <w:link w:val="CS-RFPNumber3"/>
    <w:rsid w:val="00B03463"/>
    <w:rPr>
      <w:rFonts w:ascii="Arial" w:hAnsi="Arial" w:cs="Arial"/>
      <w:color w:val="0070C0"/>
      <w:sz w:val="22"/>
      <w:szCs w:val="21"/>
      <w:lang w:eastAsia="en-GB"/>
    </w:rPr>
  </w:style>
  <w:style w:type="character" w:customStyle="1" w:styleId="CS-RFPNumber5Char">
    <w:name w:val="CS-RFP Number 5 Char"/>
    <w:link w:val="CS-RFPNumber5"/>
    <w:rsid w:val="00B03463"/>
    <w:rPr>
      <w:rFonts w:ascii="Arial" w:hAnsi="Arial" w:cs="Arial"/>
      <w:color w:val="0070C0"/>
      <w:sz w:val="22"/>
      <w:szCs w:val="21"/>
      <w:lang w:eastAsia="en-GB"/>
    </w:rPr>
  </w:style>
  <w:style w:type="paragraph" w:customStyle="1" w:styleId="CS-IBMBullet1">
    <w:name w:val="CS- IBM Bullet 1"/>
    <w:basedOn w:val="CS-IBMResponseText"/>
    <w:link w:val="CS-IBMBullet1Char"/>
    <w:qFormat/>
    <w:rsid w:val="00ED06D6"/>
    <w:pPr>
      <w:numPr>
        <w:numId w:val="11"/>
      </w:numPr>
      <w:spacing w:before="60" w:after="60"/>
      <w:ind w:left="357" w:hanging="357"/>
    </w:pPr>
    <w:rPr>
      <w:color w:val="000000" w:themeColor="text1"/>
    </w:rPr>
  </w:style>
  <w:style w:type="paragraph" w:customStyle="1" w:styleId="CS-IBMBullet2">
    <w:name w:val="CS-IBM Bullet 2"/>
    <w:basedOn w:val="CS-IBMBullet1"/>
    <w:link w:val="CS-IBMBullet2Char"/>
    <w:qFormat/>
    <w:rsid w:val="00ED06D6"/>
    <w:pPr>
      <w:numPr>
        <w:numId w:val="12"/>
      </w:numPr>
      <w:ind w:left="714" w:hanging="357"/>
    </w:pPr>
  </w:style>
  <w:style w:type="character" w:customStyle="1" w:styleId="CS-RFPBullet1Char">
    <w:name w:val="CS-RFP Bullet 1 Char"/>
    <w:link w:val="CS-RFPBullet1"/>
    <w:rsid w:val="00464519"/>
    <w:rPr>
      <w:rFonts w:ascii="Century Gothic" w:hAnsi="Century Gothic" w:cs="Arial"/>
      <w:color w:val="0070C0"/>
      <w:sz w:val="22"/>
      <w:szCs w:val="21"/>
      <w:lang w:eastAsia="en-GB"/>
    </w:rPr>
  </w:style>
  <w:style w:type="character" w:customStyle="1" w:styleId="CS-IBMBullet1Char">
    <w:name w:val="CS- IBM Bullet 1 Char"/>
    <w:link w:val="CS-IBMBullet1"/>
    <w:rsid w:val="00ED06D6"/>
    <w:rPr>
      <w:rFonts w:ascii="Century Gothic" w:hAnsi="Century Gothic" w:cs="Arial"/>
      <w:color w:val="000000" w:themeColor="text1"/>
      <w:sz w:val="22"/>
      <w:szCs w:val="21"/>
      <w:lang w:eastAsia="en-GB"/>
    </w:rPr>
  </w:style>
  <w:style w:type="paragraph" w:customStyle="1" w:styleId="CS-IBMBullet3">
    <w:name w:val="CS-IBM Bullet 3"/>
    <w:basedOn w:val="CS-IBMBullet2"/>
    <w:link w:val="CS-IBMBullet3Char"/>
    <w:qFormat/>
    <w:rsid w:val="00ED06D6"/>
    <w:pPr>
      <w:numPr>
        <w:numId w:val="13"/>
      </w:numPr>
    </w:pPr>
  </w:style>
  <w:style w:type="character" w:customStyle="1" w:styleId="CS-RFPBullet2Char">
    <w:name w:val="CS-RFP Bullet 2 Char"/>
    <w:link w:val="CS-RFPBullet2"/>
    <w:rsid w:val="00464519"/>
    <w:rPr>
      <w:rFonts w:ascii="Century Gothic" w:hAnsi="Century Gothic" w:cs="Arial"/>
      <w:color w:val="0070C0"/>
      <w:sz w:val="22"/>
      <w:szCs w:val="21"/>
      <w:lang w:eastAsia="en-GB"/>
    </w:rPr>
  </w:style>
  <w:style w:type="character" w:customStyle="1" w:styleId="CS-IBMBullet2Char">
    <w:name w:val="CS-IBM Bullet 2 Char"/>
    <w:link w:val="CS-IBMBullet2"/>
    <w:rsid w:val="00ED06D6"/>
    <w:rPr>
      <w:rFonts w:ascii="Century Gothic" w:hAnsi="Century Gothic" w:cs="Arial"/>
      <w:color w:val="000000" w:themeColor="text1"/>
      <w:sz w:val="22"/>
      <w:szCs w:val="21"/>
      <w:lang w:eastAsia="en-GB"/>
    </w:rPr>
  </w:style>
  <w:style w:type="paragraph" w:customStyle="1" w:styleId="CS-IBMBullet4">
    <w:name w:val="CS-IBM Bullet 4"/>
    <w:basedOn w:val="CS-IBMBullet3"/>
    <w:link w:val="CS-IBMBullet4Char"/>
    <w:qFormat/>
    <w:rsid w:val="00ED06D6"/>
    <w:pPr>
      <w:numPr>
        <w:numId w:val="19"/>
      </w:numPr>
    </w:pPr>
  </w:style>
  <w:style w:type="character" w:customStyle="1" w:styleId="CS-RFPBullet3Char">
    <w:name w:val="CS-RFP Bullet 3 Char"/>
    <w:link w:val="CS-RFPBullet3"/>
    <w:rsid w:val="00464519"/>
    <w:rPr>
      <w:rFonts w:ascii="Century Gothic" w:hAnsi="Century Gothic" w:cs="Arial"/>
      <w:color w:val="0070C0"/>
      <w:sz w:val="22"/>
      <w:szCs w:val="21"/>
      <w:lang w:eastAsia="en-GB"/>
    </w:rPr>
  </w:style>
  <w:style w:type="character" w:customStyle="1" w:styleId="CS-IBMBullet3Char">
    <w:name w:val="CS-IBM Bullet 3 Char"/>
    <w:link w:val="CS-IBMBullet3"/>
    <w:rsid w:val="00ED06D6"/>
    <w:rPr>
      <w:rFonts w:ascii="Century Gothic" w:hAnsi="Century Gothic" w:cs="Arial"/>
      <w:color w:val="000000" w:themeColor="text1"/>
      <w:sz w:val="22"/>
      <w:szCs w:val="21"/>
      <w:lang w:eastAsia="en-GB"/>
    </w:rPr>
  </w:style>
  <w:style w:type="paragraph" w:customStyle="1" w:styleId="CS-IBMBullet5">
    <w:name w:val="CS-IBM Bullet 5"/>
    <w:basedOn w:val="CS-IBMBullet4"/>
    <w:link w:val="CS-IBMBullet5Char"/>
    <w:qFormat/>
    <w:rsid w:val="00ED06D6"/>
    <w:pPr>
      <w:numPr>
        <w:numId w:val="20"/>
      </w:numPr>
    </w:pPr>
  </w:style>
  <w:style w:type="character" w:customStyle="1" w:styleId="CS-RFPBullet4Char">
    <w:name w:val="CS-RFP Bullet 4 Char"/>
    <w:link w:val="CS-RFPBullet4"/>
    <w:rsid w:val="00464519"/>
    <w:rPr>
      <w:rFonts w:ascii="Century Gothic" w:hAnsi="Century Gothic" w:cs="Arial"/>
      <w:color w:val="0070C0"/>
      <w:sz w:val="22"/>
      <w:szCs w:val="21"/>
      <w:lang w:eastAsia="en-GB"/>
    </w:rPr>
  </w:style>
  <w:style w:type="character" w:customStyle="1" w:styleId="CS-IBMBullet4Char">
    <w:name w:val="CS-IBM Bullet 4 Char"/>
    <w:link w:val="CS-IBMBullet4"/>
    <w:rsid w:val="00ED06D6"/>
    <w:rPr>
      <w:rFonts w:ascii="Century Gothic" w:hAnsi="Century Gothic" w:cs="Arial"/>
      <w:color w:val="000000" w:themeColor="text1"/>
      <w:sz w:val="22"/>
      <w:szCs w:val="21"/>
      <w:lang w:eastAsia="en-GB"/>
    </w:rPr>
  </w:style>
  <w:style w:type="paragraph" w:customStyle="1" w:styleId="CS-IBMNumber1">
    <w:name w:val="CS-IBM Number 1"/>
    <w:basedOn w:val="CS-IBMResponseText"/>
    <w:link w:val="CS-IBMNumber1Char"/>
    <w:qFormat/>
    <w:rsid w:val="00ED06D6"/>
    <w:pPr>
      <w:spacing w:before="60" w:after="60"/>
      <w:ind w:left="357" w:hanging="357"/>
    </w:pPr>
    <w:rPr>
      <w:color w:val="000000" w:themeColor="text1"/>
    </w:rPr>
  </w:style>
  <w:style w:type="character" w:customStyle="1" w:styleId="CS-RFPBullet5Char">
    <w:name w:val="CS-RFP Bullet 5 Char"/>
    <w:link w:val="CS-RFPBullet5"/>
    <w:rsid w:val="00464519"/>
    <w:rPr>
      <w:rFonts w:ascii="Century Gothic" w:hAnsi="Century Gothic" w:cs="Arial"/>
      <w:color w:val="0070C0"/>
      <w:sz w:val="22"/>
      <w:szCs w:val="21"/>
      <w:lang w:eastAsia="en-GB"/>
    </w:rPr>
  </w:style>
  <w:style w:type="character" w:customStyle="1" w:styleId="CS-IBMBullet5Char">
    <w:name w:val="CS-IBM Bullet 5 Char"/>
    <w:link w:val="CS-IBMBullet5"/>
    <w:rsid w:val="00ED06D6"/>
    <w:rPr>
      <w:rFonts w:ascii="Century Gothic" w:hAnsi="Century Gothic" w:cs="Arial"/>
      <w:color w:val="000000" w:themeColor="text1"/>
      <w:sz w:val="22"/>
      <w:szCs w:val="21"/>
      <w:lang w:eastAsia="en-GB"/>
    </w:rPr>
  </w:style>
  <w:style w:type="paragraph" w:customStyle="1" w:styleId="CS-IBMNumber2">
    <w:name w:val="CS-IBM Number 2"/>
    <w:basedOn w:val="CS-IBMNumber1"/>
    <w:link w:val="CS-IBMNumber2Char"/>
    <w:qFormat/>
    <w:rsid w:val="00464519"/>
    <w:pPr>
      <w:ind w:left="714"/>
    </w:pPr>
  </w:style>
  <w:style w:type="character" w:customStyle="1" w:styleId="CS-IBMNumber1Char">
    <w:name w:val="CS-IBM Number 1 Char"/>
    <w:link w:val="CS-IBMNumber1"/>
    <w:rsid w:val="00ED06D6"/>
    <w:rPr>
      <w:rFonts w:ascii="Arial" w:hAnsi="Arial" w:cs="Arial"/>
      <w:color w:val="000000" w:themeColor="text1"/>
      <w:sz w:val="22"/>
      <w:szCs w:val="21"/>
      <w:lang w:eastAsia="en-GB"/>
    </w:rPr>
  </w:style>
  <w:style w:type="paragraph" w:customStyle="1" w:styleId="CS-IBMNumber3">
    <w:name w:val="CS-IBM Number 3"/>
    <w:basedOn w:val="CS-IBMNumber2"/>
    <w:link w:val="CS-IBMNumber3Char"/>
    <w:qFormat/>
    <w:rsid w:val="00464519"/>
    <w:pPr>
      <w:ind w:left="1077"/>
    </w:pPr>
  </w:style>
  <w:style w:type="character" w:customStyle="1" w:styleId="CS-IBMNumber2Char">
    <w:name w:val="CS-IBM Number 2 Char"/>
    <w:link w:val="CS-IBMNumber2"/>
    <w:rsid w:val="00464519"/>
    <w:rPr>
      <w:rFonts w:ascii="Arial" w:hAnsi="Arial" w:cs="Arial"/>
      <w:color w:val="000000" w:themeColor="text1"/>
      <w:sz w:val="22"/>
      <w:szCs w:val="21"/>
      <w:lang w:eastAsia="en-GB"/>
    </w:rPr>
  </w:style>
  <w:style w:type="paragraph" w:customStyle="1" w:styleId="CS-IBMNumber4">
    <w:name w:val="CS-IBM Number 4"/>
    <w:basedOn w:val="CS-IBMNumber3"/>
    <w:link w:val="CS-IBMNumber4Char"/>
    <w:qFormat/>
    <w:rsid w:val="00464519"/>
    <w:pPr>
      <w:ind w:left="1434"/>
    </w:pPr>
  </w:style>
  <w:style w:type="character" w:customStyle="1" w:styleId="CS-IBMNumber3Char">
    <w:name w:val="CS-IBM Number 3 Char"/>
    <w:link w:val="CS-IBMNumber3"/>
    <w:rsid w:val="00464519"/>
    <w:rPr>
      <w:rFonts w:ascii="Arial" w:hAnsi="Arial" w:cs="Arial"/>
      <w:color w:val="000000" w:themeColor="text1"/>
      <w:sz w:val="22"/>
      <w:szCs w:val="21"/>
      <w:lang w:eastAsia="en-GB"/>
    </w:rPr>
  </w:style>
  <w:style w:type="paragraph" w:customStyle="1" w:styleId="CS-IBMNumber5">
    <w:name w:val="CS-IBM Number 5"/>
    <w:basedOn w:val="CS-IBMNumber4"/>
    <w:link w:val="CS-IBMNumber5Char"/>
    <w:qFormat/>
    <w:rsid w:val="00464519"/>
    <w:pPr>
      <w:ind w:left="1707" w:hanging="272"/>
    </w:pPr>
  </w:style>
  <w:style w:type="character" w:customStyle="1" w:styleId="CS-IBMNumber4Char">
    <w:name w:val="CS-IBM Number 4 Char"/>
    <w:link w:val="CS-IBMNumber4"/>
    <w:rsid w:val="00464519"/>
    <w:rPr>
      <w:rFonts w:ascii="Arial" w:hAnsi="Arial" w:cs="Arial"/>
      <w:color w:val="000000" w:themeColor="text1"/>
      <w:sz w:val="22"/>
      <w:szCs w:val="21"/>
      <w:lang w:eastAsia="en-GB"/>
    </w:rPr>
  </w:style>
  <w:style w:type="character" w:customStyle="1" w:styleId="CS-IBMNumber5Char">
    <w:name w:val="CS-IBM Number 5 Char"/>
    <w:link w:val="CS-IBMNumber5"/>
    <w:rsid w:val="00464519"/>
    <w:rPr>
      <w:rFonts w:ascii="Arial" w:hAnsi="Arial" w:cs="Arial"/>
      <w:color w:val="000000" w:themeColor="text1"/>
      <w:sz w:val="22"/>
      <w:szCs w:val="21"/>
      <w:lang w:eastAsia="en-GB"/>
    </w:rPr>
  </w:style>
  <w:style w:type="character" w:customStyle="1" w:styleId="CS-RFPBodyTextChar">
    <w:name w:val="CS-RFP Body Text Char"/>
    <w:link w:val="CS-RFPBodyText"/>
    <w:rsid w:val="00464519"/>
    <w:rPr>
      <w:rFonts w:ascii="Arial" w:hAnsi="Arial" w:cs="Arial"/>
      <w:color w:val="0070C0"/>
      <w:sz w:val="22"/>
      <w:szCs w:val="21"/>
      <w:lang w:eastAsia="en-GB"/>
    </w:rPr>
  </w:style>
  <w:style w:type="paragraph" w:customStyle="1" w:styleId="CS-IBMTableBullet2">
    <w:name w:val="CS-IBM Table Bullet 2"/>
    <w:basedOn w:val="CS-IBMBullet2"/>
    <w:qFormat/>
    <w:rsid w:val="00806112"/>
    <w:pPr>
      <w:numPr>
        <w:numId w:val="17"/>
      </w:numPr>
      <w:ind w:left="714" w:hanging="357"/>
    </w:pPr>
  </w:style>
  <w:style w:type="character" w:customStyle="1" w:styleId="FooterChar">
    <w:name w:val="Footer Char"/>
    <w:basedOn w:val="DefaultParagraphFont"/>
    <w:link w:val="Footer"/>
    <w:uiPriority w:val="99"/>
    <w:rsid w:val="00D57F1D"/>
    <w:rPr>
      <w:rFonts w:ascii="Arial" w:hAnsi="Arial" w:cs="Arial"/>
      <w:noProof/>
      <w:color w:val="0E3152"/>
      <w:sz w:val="18"/>
      <w:szCs w:val="21"/>
      <w:lang w:eastAsia="en-GB"/>
    </w:rPr>
  </w:style>
  <w:style w:type="character" w:styleId="UnresolvedMention">
    <w:name w:val="Unresolved Mention"/>
    <w:basedOn w:val="DefaultParagraphFont"/>
    <w:uiPriority w:val="99"/>
    <w:semiHidden/>
    <w:unhideWhenUsed/>
    <w:rsid w:val="00F55693"/>
    <w:rPr>
      <w:color w:val="605E5C"/>
      <w:shd w:val="clear" w:color="auto" w:fill="E1DFDD"/>
    </w:rPr>
  </w:style>
  <w:style w:type="paragraph" w:customStyle="1" w:styleId="CS-IBMCoverLetterAddress">
    <w:name w:val="CS-IBM Cover Letter Address"/>
    <w:qFormat/>
    <w:rsid w:val="00ED06D6"/>
    <w:rPr>
      <w:rFonts w:ascii="Arial" w:eastAsiaTheme="minorHAnsi" w:hAnsi="Arial" w:cstheme="minorBidi"/>
      <w:color w:val="008ABF" w:themeColor="accent2"/>
      <w:sz w:val="14"/>
      <w:szCs w:val="14"/>
    </w:rPr>
  </w:style>
  <w:style w:type="paragraph" w:customStyle="1" w:styleId="CS-IBMResponseText">
    <w:name w:val="CS - IBM Response Text"/>
    <w:qFormat/>
    <w:rsid w:val="006565DC"/>
    <w:pPr>
      <w:spacing w:before="120" w:after="120"/>
    </w:pPr>
    <w:rPr>
      <w:rFonts w:ascii="Century Gothic" w:hAnsi="Century Gothic" w:cs="Arial"/>
      <w:color w:val="0D0D0D" w:themeColor="text1" w:themeTint="F2"/>
      <w:sz w:val="22"/>
      <w:szCs w:val="21"/>
      <w:lang w:eastAsia="en-GB"/>
    </w:rPr>
  </w:style>
  <w:style w:type="paragraph" w:customStyle="1" w:styleId="CS-IBMCoverLetterText">
    <w:name w:val="CS - IBM Cover Letter Text"/>
    <w:basedOn w:val="CS-IBMResponseText"/>
    <w:qFormat/>
    <w:rsid w:val="003E58D5"/>
    <w:rPr>
      <w:szCs w:val="20"/>
    </w:rPr>
  </w:style>
  <w:style w:type="paragraph" w:customStyle="1" w:styleId="CS-IBMCoverLetterBullet">
    <w:name w:val="CS - IBM Cover Letter Bullet"/>
    <w:basedOn w:val="CS-IBMCoverLetterText"/>
    <w:qFormat/>
    <w:rsid w:val="003E58D5"/>
    <w:pPr>
      <w:numPr>
        <w:numId w:val="15"/>
      </w:numPr>
      <w:spacing w:before="60" w:after="60"/>
      <w:ind w:left="357" w:hanging="357"/>
    </w:pPr>
  </w:style>
  <w:style w:type="paragraph" w:customStyle="1" w:styleId="CS-IBMFigureorTableCaption">
    <w:name w:val="CS-IBM Figure or Table Caption"/>
    <w:next w:val="CS-IBMResponseText"/>
    <w:qFormat/>
    <w:rsid w:val="003E58D5"/>
    <w:pPr>
      <w:spacing w:before="120" w:after="120"/>
      <w:jc w:val="center"/>
    </w:pPr>
    <w:rPr>
      <w:rFonts w:ascii="Century Gothic" w:hAnsi="Century Gothic" w:cs="Arial"/>
      <w:i/>
      <w:iCs/>
      <w:color w:val="000000" w:themeColor="text1"/>
      <w:sz w:val="18"/>
      <w:szCs w:val="18"/>
      <w:lang w:eastAsia="en-GB"/>
    </w:rPr>
  </w:style>
  <w:style w:type="paragraph" w:customStyle="1" w:styleId="CS-IBMCalloutTitle">
    <w:name w:val="CS-IBM Callout Title"/>
    <w:basedOn w:val="CS-IBMResponseText"/>
    <w:qFormat/>
    <w:rsid w:val="00ED06D6"/>
    <w:pPr>
      <w:spacing w:before="60"/>
      <w:jc w:val="center"/>
    </w:pPr>
    <w:rPr>
      <w:rFonts w:cstheme="minorBidi"/>
      <w:b/>
      <w:bCs/>
      <w:i/>
      <w:iCs/>
      <w:color w:val="000000" w:themeColor="text1"/>
      <w:kern w:val="24"/>
      <w:szCs w:val="24"/>
    </w:rPr>
  </w:style>
  <w:style w:type="paragraph" w:customStyle="1" w:styleId="CS-IBMCalloutBullet">
    <w:name w:val="CS-IBM Callout Bullet"/>
    <w:basedOn w:val="CS-IBMBullet1"/>
    <w:qFormat/>
    <w:rsid w:val="00ED06D6"/>
    <w:pPr>
      <w:numPr>
        <w:numId w:val="14"/>
      </w:numPr>
      <w:ind w:left="357" w:hanging="357"/>
    </w:pPr>
    <w:rPr>
      <w:rFonts w:cstheme="minorBidi"/>
      <w:iCs/>
      <w:kern w:val="24"/>
    </w:rPr>
  </w:style>
  <w:style w:type="paragraph" w:customStyle="1" w:styleId="CS-IBMCalloutText">
    <w:name w:val="CS-IBM Callout Text"/>
    <w:basedOn w:val="CS-IBMResponseText"/>
    <w:qFormat/>
    <w:rsid w:val="00ED06D6"/>
    <w:pPr>
      <w:spacing w:before="60" w:after="60"/>
    </w:pPr>
  </w:style>
  <w:style w:type="paragraph" w:customStyle="1" w:styleId="CS-IBMTableBullet3">
    <w:name w:val="CS-IBM Table Bullet 3"/>
    <w:basedOn w:val="CS-IBMBullet3"/>
    <w:qFormat/>
    <w:rsid w:val="00806112"/>
    <w:pPr>
      <w:numPr>
        <w:numId w:val="18"/>
      </w:numPr>
      <w:ind w:left="1071" w:hanging="357"/>
    </w:pPr>
  </w:style>
  <w:style w:type="paragraph" w:customStyle="1" w:styleId="CS-IBMSub-ColumnHeader">
    <w:name w:val="CS-IBM Sub-Column Header"/>
    <w:basedOn w:val="CS-IBMTableText"/>
    <w:uiPriority w:val="99"/>
    <w:qFormat/>
    <w:rsid w:val="00464519"/>
    <w:pPr>
      <w:jc w:val="center"/>
    </w:pPr>
    <w:rPr>
      <w:b/>
      <w:bCs/>
    </w:rPr>
  </w:style>
  <w:style w:type="paragraph" w:styleId="Revision">
    <w:name w:val="Revision"/>
    <w:hidden/>
    <w:uiPriority w:val="99"/>
    <w:semiHidden/>
    <w:rsid w:val="00D11847"/>
    <w:rPr>
      <w:rFonts w:ascii="Arial" w:hAnsi="Arial"/>
      <w:color w:val="000000" w:themeColor="text1"/>
      <w:sz w:val="22"/>
      <w:szCs w:val="22"/>
      <w:lang w:eastAsia="en-GB"/>
    </w:rPr>
  </w:style>
  <w:style w:type="paragraph" w:styleId="Caption">
    <w:name w:val="caption"/>
    <w:basedOn w:val="Normal"/>
    <w:next w:val="Normal"/>
    <w:unhideWhenUsed/>
    <w:qFormat/>
    <w:rsid w:val="00F05C9E"/>
    <w:pPr>
      <w:spacing w:before="0" w:after="200"/>
    </w:pPr>
    <w:rPr>
      <w:i/>
      <w:iCs/>
      <w:color w:val="000000" w:themeColor="text2"/>
      <w:sz w:val="18"/>
      <w:szCs w:val="18"/>
    </w:rPr>
  </w:style>
  <w:style w:type="paragraph" w:customStyle="1" w:styleId="CS-IBMFooter">
    <w:name w:val="CS-IBM Footer"/>
    <w:basedOn w:val="CS-IBMHeader"/>
    <w:uiPriority w:val="99"/>
    <w:qFormat/>
    <w:rsid w:val="003E58D5"/>
    <w:pPr>
      <w:pBdr>
        <w:top w:val="single" w:sz="4" w:space="10" w:color="auto"/>
        <w:bottom w:val="none" w:sz="0" w:space="0" w:color="auto"/>
      </w:pBdr>
      <w:spacing w:before="240"/>
    </w:pPr>
    <w:rPr>
      <w:szCs w:val="18"/>
    </w:rPr>
  </w:style>
  <w:style w:type="paragraph" w:customStyle="1" w:styleId="CS-IBMHeading2">
    <w:name w:val="CS - IBM Heading 2"/>
    <w:next w:val="CS-IBMResponseText"/>
    <w:qFormat/>
    <w:rsid w:val="000266B4"/>
    <w:pPr>
      <w:spacing w:before="300" w:after="120"/>
    </w:pPr>
    <w:rPr>
      <w:rFonts w:ascii="Arial" w:hAnsi="Arial" w:cs="Arial"/>
      <w:color w:val="008BFF"/>
      <w:sz w:val="36"/>
      <w:szCs w:val="40"/>
      <w:lang w:eastAsia="en-GB"/>
    </w:rPr>
  </w:style>
  <w:style w:type="paragraph" w:styleId="BodyText">
    <w:name w:val="Body Text"/>
    <w:basedOn w:val="Normal"/>
    <w:link w:val="BodyTextChar"/>
    <w:semiHidden/>
    <w:unhideWhenUsed/>
    <w:qFormat/>
    <w:rsid w:val="00D875DC"/>
    <w:pPr>
      <w:spacing w:after="120"/>
    </w:pPr>
  </w:style>
  <w:style w:type="character" w:customStyle="1" w:styleId="BodyTextChar">
    <w:name w:val="Body Text Char"/>
    <w:basedOn w:val="DefaultParagraphFont"/>
    <w:link w:val="BodyText"/>
    <w:semiHidden/>
    <w:rsid w:val="00D875DC"/>
    <w:rPr>
      <w:rFonts w:ascii="Arial" w:hAnsi="Arial"/>
      <w:color w:val="000000" w:themeColor="text1"/>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60995">
      <w:bodyDiv w:val="1"/>
      <w:marLeft w:val="0"/>
      <w:marRight w:val="0"/>
      <w:marTop w:val="0"/>
      <w:marBottom w:val="0"/>
      <w:divBdr>
        <w:top w:val="none" w:sz="0" w:space="0" w:color="auto"/>
        <w:left w:val="none" w:sz="0" w:space="0" w:color="auto"/>
        <w:bottom w:val="none" w:sz="0" w:space="0" w:color="auto"/>
        <w:right w:val="none" w:sz="0" w:space="0" w:color="auto"/>
      </w:divBdr>
    </w:div>
    <w:div w:id="549073374">
      <w:bodyDiv w:val="1"/>
      <w:marLeft w:val="0"/>
      <w:marRight w:val="0"/>
      <w:marTop w:val="0"/>
      <w:marBottom w:val="0"/>
      <w:divBdr>
        <w:top w:val="none" w:sz="0" w:space="0" w:color="auto"/>
        <w:left w:val="none" w:sz="0" w:space="0" w:color="auto"/>
        <w:bottom w:val="none" w:sz="0" w:space="0" w:color="auto"/>
        <w:right w:val="none" w:sz="0" w:space="0" w:color="auto"/>
      </w:divBdr>
    </w:div>
    <w:div w:id="567690305">
      <w:bodyDiv w:val="1"/>
      <w:marLeft w:val="0"/>
      <w:marRight w:val="0"/>
      <w:marTop w:val="0"/>
      <w:marBottom w:val="0"/>
      <w:divBdr>
        <w:top w:val="none" w:sz="0" w:space="0" w:color="auto"/>
        <w:left w:val="none" w:sz="0" w:space="0" w:color="auto"/>
        <w:bottom w:val="none" w:sz="0" w:space="0" w:color="auto"/>
        <w:right w:val="none" w:sz="0" w:space="0" w:color="auto"/>
      </w:divBdr>
      <w:divsChild>
        <w:div w:id="468985837">
          <w:marLeft w:val="446"/>
          <w:marRight w:val="0"/>
          <w:marTop w:val="0"/>
          <w:marBottom w:val="0"/>
          <w:divBdr>
            <w:top w:val="none" w:sz="0" w:space="0" w:color="auto"/>
            <w:left w:val="none" w:sz="0" w:space="0" w:color="auto"/>
            <w:bottom w:val="none" w:sz="0" w:space="0" w:color="auto"/>
            <w:right w:val="none" w:sz="0" w:space="0" w:color="auto"/>
          </w:divBdr>
        </w:div>
        <w:div w:id="657225292">
          <w:marLeft w:val="446"/>
          <w:marRight w:val="0"/>
          <w:marTop w:val="0"/>
          <w:marBottom w:val="0"/>
          <w:divBdr>
            <w:top w:val="none" w:sz="0" w:space="0" w:color="auto"/>
            <w:left w:val="none" w:sz="0" w:space="0" w:color="auto"/>
            <w:bottom w:val="none" w:sz="0" w:space="0" w:color="auto"/>
            <w:right w:val="none" w:sz="0" w:space="0" w:color="auto"/>
          </w:divBdr>
        </w:div>
        <w:div w:id="1993173794">
          <w:marLeft w:val="446"/>
          <w:marRight w:val="0"/>
          <w:marTop w:val="0"/>
          <w:marBottom w:val="0"/>
          <w:divBdr>
            <w:top w:val="none" w:sz="0" w:space="0" w:color="auto"/>
            <w:left w:val="none" w:sz="0" w:space="0" w:color="auto"/>
            <w:bottom w:val="none" w:sz="0" w:space="0" w:color="auto"/>
            <w:right w:val="none" w:sz="0" w:space="0" w:color="auto"/>
          </w:divBdr>
        </w:div>
      </w:divsChild>
    </w:div>
    <w:div w:id="605502006">
      <w:bodyDiv w:val="1"/>
      <w:marLeft w:val="0"/>
      <w:marRight w:val="0"/>
      <w:marTop w:val="0"/>
      <w:marBottom w:val="0"/>
      <w:divBdr>
        <w:top w:val="none" w:sz="0" w:space="0" w:color="auto"/>
        <w:left w:val="none" w:sz="0" w:space="0" w:color="auto"/>
        <w:bottom w:val="none" w:sz="0" w:space="0" w:color="auto"/>
        <w:right w:val="none" w:sz="0" w:space="0" w:color="auto"/>
      </w:divBdr>
    </w:div>
    <w:div w:id="686949029">
      <w:bodyDiv w:val="1"/>
      <w:marLeft w:val="0"/>
      <w:marRight w:val="0"/>
      <w:marTop w:val="0"/>
      <w:marBottom w:val="0"/>
      <w:divBdr>
        <w:top w:val="none" w:sz="0" w:space="0" w:color="auto"/>
        <w:left w:val="none" w:sz="0" w:space="0" w:color="auto"/>
        <w:bottom w:val="none" w:sz="0" w:space="0" w:color="auto"/>
        <w:right w:val="none" w:sz="0" w:space="0" w:color="auto"/>
      </w:divBdr>
      <w:divsChild>
        <w:div w:id="756171419">
          <w:marLeft w:val="446"/>
          <w:marRight w:val="0"/>
          <w:marTop w:val="0"/>
          <w:marBottom w:val="0"/>
          <w:divBdr>
            <w:top w:val="none" w:sz="0" w:space="0" w:color="auto"/>
            <w:left w:val="none" w:sz="0" w:space="0" w:color="auto"/>
            <w:bottom w:val="none" w:sz="0" w:space="0" w:color="auto"/>
            <w:right w:val="none" w:sz="0" w:space="0" w:color="auto"/>
          </w:divBdr>
        </w:div>
        <w:div w:id="1896743305">
          <w:marLeft w:val="446"/>
          <w:marRight w:val="0"/>
          <w:marTop w:val="0"/>
          <w:marBottom w:val="0"/>
          <w:divBdr>
            <w:top w:val="none" w:sz="0" w:space="0" w:color="auto"/>
            <w:left w:val="none" w:sz="0" w:space="0" w:color="auto"/>
            <w:bottom w:val="none" w:sz="0" w:space="0" w:color="auto"/>
            <w:right w:val="none" w:sz="0" w:space="0" w:color="auto"/>
          </w:divBdr>
        </w:div>
        <w:div w:id="1957633357">
          <w:marLeft w:val="446"/>
          <w:marRight w:val="0"/>
          <w:marTop w:val="0"/>
          <w:marBottom w:val="0"/>
          <w:divBdr>
            <w:top w:val="none" w:sz="0" w:space="0" w:color="auto"/>
            <w:left w:val="none" w:sz="0" w:space="0" w:color="auto"/>
            <w:bottom w:val="none" w:sz="0" w:space="0" w:color="auto"/>
            <w:right w:val="none" w:sz="0" w:space="0" w:color="auto"/>
          </w:divBdr>
        </w:div>
      </w:divsChild>
    </w:div>
    <w:div w:id="799571455">
      <w:bodyDiv w:val="1"/>
      <w:marLeft w:val="0"/>
      <w:marRight w:val="0"/>
      <w:marTop w:val="0"/>
      <w:marBottom w:val="0"/>
      <w:divBdr>
        <w:top w:val="none" w:sz="0" w:space="0" w:color="auto"/>
        <w:left w:val="none" w:sz="0" w:space="0" w:color="auto"/>
        <w:bottom w:val="none" w:sz="0" w:space="0" w:color="auto"/>
        <w:right w:val="none" w:sz="0" w:space="0" w:color="auto"/>
      </w:divBdr>
      <w:divsChild>
        <w:div w:id="1829979636">
          <w:marLeft w:val="446"/>
          <w:marRight w:val="0"/>
          <w:marTop w:val="0"/>
          <w:marBottom w:val="0"/>
          <w:divBdr>
            <w:top w:val="none" w:sz="0" w:space="0" w:color="auto"/>
            <w:left w:val="none" w:sz="0" w:space="0" w:color="auto"/>
            <w:bottom w:val="none" w:sz="0" w:space="0" w:color="auto"/>
            <w:right w:val="none" w:sz="0" w:space="0" w:color="auto"/>
          </w:divBdr>
        </w:div>
        <w:div w:id="1280798891">
          <w:marLeft w:val="446"/>
          <w:marRight w:val="0"/>
          <w:marTop w:val="0"/>
          <w:marBottom w:val="0"/>
          <w:divBdr>
            <w:top w:val="none" w:sz="0" w:space="0" w:color="auto"/>
            <w:left w:val="none" w:sz="0" w:space="0" w:color="auto"/>
            <w:bottom w:val="none" w:sz="0" w:space="0" w:color="auto"/>
            <w:right w:val="none" w:sz="0" w:space="0" w:color="auto"/>
          </w:divBdr>
        </w:div>
        <w:div w:id="796601215">
          <w:marLeft w:val="446"/>
          <w:marRight w:val="0"/>
          <w:marTop w:val="0"/>
          <w:marBottom w:val="0"/>
          <w:divBdr>
            <w:top w:val="none" w:sz="0" w:space="0" w:color="auto"/>
            <w:left w:val="none" w:sz="0" w:space="0" w:color="auto"/>
            <w:bottom w:val="none" w:sz="0" w:space="0" w:color="auto"/>
            <w:right w:val="none" w:sz="0" w:space="0" w:color="auto"/>
          </w:divBdr>
        </w:div>
      </w:divsChild>
    </w:div>
    <w:div w:id="1190339415">
      <w:bodyDiv w:val="1"/>
      <w:marLeft w:val="0"/>
      <w:marRight w:val="0"/>
      <w:marTop w:val="0"/>
      <w:marBottom w:val="0"/>
      <w:divBdr>
        <w:top w:val="none" w:sz="0" w:space="0" w:color="auto"/>
        <w:left w:val="none" w:sz="0" w:space="0" w:color="auto"/>
        <w:bottom w:val="none" w:sz="0" w:space="0" w:color="auto"/>
        <w:right w:val="none" w:sz="0" w:space="0" w:color="auto"/>
      </w:divBdr>
    </w:div>
    <w:div w:id="1456145229">
      <w:bodyDiv w:val="1"/>
      <w:marLeft w:val="0"/>
      <w:marRight w:val="0"/>
      <w:marTop w:val="0"/>
      <w:marBottom w:val="0"/>
      <w:divBdr>
        <w:top w:val="none" w:sz="0" w:space="0" w:color="auto"/>
        <w:left w:val="none" w:sz="0" w:space="0" w:color="auto"/>
        <w:bottom w:val="none" w:sz="0" w:space="0" w:color="auto"/>
        <w:right w:val="none" w:sz="0" w:space="0" w:color="auto"/>
      </w:divBdr>
      <w:divsChild>
        <w:div w:id="1233542416">
          <w:marLeft w:val="0"/>
          <w:marRight w:val="0"/>
          <w:marTop w:val="0"/>
          <w:marBottom w:val="0"/>
          <w:divBdr>
            <w:top w:val="none" w:sz="0" w:space="0" w:color="auto"/>
            <w:left w:val="none" w:sz="0" w:space="0" w:color="auto"/>
            <w:bottom w:val="none" w:sz="0" w:space="0" w:color="auto"/>
            <w:right w:val="none" w:sz="0" w:space="0" w:color="auto"/>
          </w:divBdr>
          <w:divsChild>
            <w:div w:id="572931168">
              <w:marLeft w:val="0"/>
              <w:marRight w:val="0"/>
              <w:marTop w:val="0"/>
              <w:marBottom w:val="0"/>
              <w:divBdr>
                <w:top w:val="none" w:sz="0" w:space="0" w:color="auto"/>
                <w:left w:val="none" w:sz="0" w:space="0" w:color="auto"/>
                <w:bottom w:val="none" w:sz="0" w:space="0" w:color="auto"/>
                <w:right w:val="none" w:sz="0" w:space="0" w:color="auto"/>
              </w:divBdr>
            </w:div>
            <w:div w:id="618606911">
              <w:marLeft w:val="0"/>
              <w:marRight w:val="0"/>
              <w:marTop w:val="0"/>
              <w:marBottom w:val="0"/>
              <w:divBdr>
                <w:top w:val="none" w:sz="0" w:space="0" w:color="auto"/>
                <w:left w:val="none" w:sz="0" w:space="0" w:color="auto"/>
                <w:bottom w:val="none" w:sz="0" w:space="0" w:color="auto"/>
                <w:right w:val="none" w:sz="0" w:space="0" w:color="auto"/>
              </w:divBdr>
            </w:div>
            <w:div w:id="1212231407">
              <w:marLeft w:val="0"/>
              <w:marRight w:val="0"/>
              <w:marTop w:val="0"/>
              <w:marBottom w:val="0"/>
              <w:divBdr>
                <w:top w:val="none" w:sz="0" w:space="0" w:color="auto"/>
                <w:left w:val="none" w:sz="0" w:space="0" w:color="auto"/>
                <w:bottom w:val="none" w:sz="0" w:space="0" w:color="auto"/>
                <w:right w:val="none" w:sz="0" w:space="0" w:color="auto"/>
              </w:divBdr>
            </w:div>
            <w:div w:id="1449357065">
              <w:marLeft w:val="0"/>
              <w:marRight w:val="0"/>
              <w:marTop w:val="0"/>
              <w:marBottom w:val="0"/>
              <w:divBdr>
                <w:top w:val="none" w:sz="0" w:space="0" w:color="auto"/>
                <w:left w:val="none" w:sz="0" w:space="0" w:color="auto"/>
                <w:bottom w:val="none" w:sz="0" w:space="0" w:color="auto"/>
                <w:right w:val="none" w:sz="0" w:space="0" w:color="auto"/>
              </w:divBdr>
            </w:div>
            <w:div w:id="197710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382462">
      <w:bodyDiv w:val="1"/>
      <w:marLeft w:val="0"/>
      <w:marRight w:val="0"/>
      <w:marTop w:val="0"/>
      <w:marBottom w:val="0"/>
      <w:divBdr>
        <w:top w:val="none" w:sz="0" w:space="0" w:color="auto"/>
        <w:left w:val="none" w:sz="0" w:space="0" w:color="auto"/>
        <w:bottom w:val="none" w:sz="0" w:space="0" w:color="auto"/>
        <w:right w:val="none" w:sz="0" w:space="0" w:color="auto"/>
      </w:divBdr>
    </w:div>
    <w:div w:id="1598564388">
      <w:bodyDiv w:val="1"/>
      <w:marLeft w:val="0"/>
      <w:marRight w:val="0"/>
      <w:marTop w:val="0"/>
      <w:marBottom w:val="0"/>
      <w:divBdr>
        <w:top w:val="none" w:sz="0" w:space="0" w:color="auto"/>
        <w:left w:val="none" w:sz="0" w:space="0" w:color="auto"/>
        <w:bottom w:val="none" w:sz="0" w:space="0" w:color="auto"/>
        <w:right w:val="none" w:sz="0" w:space="0" w:color="auto"/>
      </w:divBdr>
    </w:div>
    <w:div w:id="1733040429">
      <w:bodyDiv w:val="1"/>
      <w:marLeft w:val="0"/>
      <w:marRight w:val="0"/>
      <w:marTop w:val="0"/>
      <w:marBottom w:val="0"/>
      <w:divBdr>
        <w:top w:val="none" w:sz="0" w:space="0" w:color="auto"/>
        <w:left w:val="none" w:sz="0" w:space="0" w:color="auto"/>
        <w:bottom w:val="none" w:sz="0" w:space="0" w:color="auto"/>
        <w:right w:val="none" w:sz="0" w:space="0" w:color="auto"/>
      </w:divBdr>
    </w:div>
    <w:div w:id="1775127752">
      <w:bodyDiv w:val="1"/>
      <w:marLeft w:val="0"/>
      <w:marRight w:val="0"/>
      <w:marTop w:val="0"/>
      <w:marBottom w:val="0"/>
      <w:divBdr>
        <w:top w:val="none" w:sz="0" w:space="0" w:color="auto"/>
        <w:left w:val="none" w:sz="0" w:space="0" w:color="auto"/>
        <w:bottom w:val="none" w:sz="0" w:space="0" w:color="auto"/>
        <w:right w:val="none" w:sz="0" w:space="0" w:color="auto"/>
      </w:divBdr>
    </w:div>
    <w:div w:id="202678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openxmlformats.org/officeDocument/2006/relationships/customXml" Target="../customXml/item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emsEstrella\OneDrive%20-%20IBM\IBM%20Consulting%20Generic%20Proposal%20Template%202025_Arial%2011.dotx" TargetMode="External"/></Relationships>
</file>

<file path=word/theme/theme1.xml><?xml version="1.0" encoding="utf-8"?>
<a:theme xmlns:a="http://schemas.openxmlformats.org/drawingml/2006/main" name="Office Theme">
  <a:themeElements>
    <a:clrScheme name="Q2C Proposal Template">
      <a:dk1>
        <a:srgbClr val="000000"/>
      </a:dk1>
      <a:lt1>
        <a:srgbClr val="FFFFFF"/>
      </a:lt1>
      <a:dk2>
        <a:srgbClr val="000000"/>
      </a:dk2>
      <a:lt2>
        <a:srgbClr val="42474C"/>
      </a:lt2>
      <a:accent1>
        <a:srgbClr val="003F69"/>
      </a:accent1>
      <a:accent2>
        <a:srgbClr val="008ABF"/>
      </a:accent2>
      <a:accent3>
        <a:srgbClr val="00A6A0"/>
      </a:accent3>
      <a:accent4>
        <a:srgbClr val="86BE4A"/>
      </a:accent4>
      <a:accent5>
        <a:srgbClr val="C52636"/>
      </a:accent5>
      <a:accent6>
        <a:srgbClr val="E48A3F"/>
      </a:accent6>
      <a:hlink>
        <a:srgbClr val="008ABF"/>
      </a:hlink>
      <a:folHlink>
        <a:srgbClr val="6B737C"/>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7F886295FD50240A51205FADCF73148" ma:contentTypeVersion="3" ma:contentTypeDescription="Create a new document." ma:contentTypeScope="" ma:versionID="d723d2944177a3e679142524ab19b624">
  <xsd:schema xmlns:xsd="http://www.w3.org/2001/XMLSchema" xmlns:xs="http://www.w3.org/2001/XMLSchema" xmlns:p="http://schemas.microsoft.com/office/2006/metadata/properties" xmlns:ns2="500343c0-af67-4d55-b6f3-a7838e163d14" xmlns:ns3="3c52f3de-f6ea-4171-9f59-d185ac51bd8c" targetNamespace="http://schemas.microsoft.com/office/2006/metadata/properties" ma:root="true" ma:fieldsID="9e0a1e31ded1f46a996e91767901b4fc" ns2:_="" ns3:_="">
    <xsd:import namespace="500343c0-af67-4d55-b6f3-a7838e163d14"/>
    <xsd:import namespace="3c52f3de-f6ea-4171-9f59-d185ac51bd8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c52f3de-f6ea-4171-9f59-d185ac51bd8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5bce90d6-5a2c-47e0-8337-aac7acda0e97" ContentTypeId="0x0101" PreviousValue="false" LastSyncTimeStamp="2017-02-08T00:21:31.92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500343c0-af67-4d55-b6f3-a7838e163d14">W3A6JUTVPN6F-1912509297-123</_dlc_DocId>
    <_dlc_DocIdUrl xmlns="500343c0-af67-4d55-b6f3-a7838e163d14">
      <Url>https://osicagov.sharepoint.com/sites/CalSAWS_Procurement/_layouts/15/DocIdRedir.aspx?ID=W3A6JUTVPN6F-1912509297-123</Url>
      <Description>W3A6JUTVPN6F-1912509297-123</Description>
    </_dlc_DocIdUrl>
  </documentManagement>
</p:properties>
</file>

<file path=customXml/itemProps1.xml><?xml version="1.0" encoding="utf-8"?>
<ds:datastoreItem xmlns:ds="http://schemas.openxmlformats.org/officeDocument/2006/customXml" ds:itemID="{95F7F4D9-2A68-49F0-B72F-CC02A3E5B6EE}">
  <ds:schemaRefs>
    <ds:schemaRef ds:uri="http://schemas.openxmlformats.org/officeDocument/2006/bibliography"/>
  </ds:schemaRefs>
</ds:datastoreItem>
</file>

<file path=customXml/itemProps2.xml><?xml version="1.0" encoding="utf-8"?>
<ds:datastoreItem xmlns:ds="http://schemas.openxmlformats.org/officeDocument/2006/customXml" ds:itemID="{19761FD1-9F90-42E7-BE9A-DD07B1BC5295}"/>
</file>

<file path=customXml/itemProps3.xml><?xml version="1.0" encoding="utf-8"?>
<ds:datastoreItem xmlns:ds="http://schemas.openxmlformats.org/officeDocument/2006/customXml" ds:itemID="{C1CCA313-11CB-4BE3-A689-5F2CB8041856}"/>
</file>

<file path=customXml/itemProps4.xml><?xml version="1.0" encoding="utf-8"?>
<ds:datastoreItem xmlns:ds="http://schemas.openxmlformats.org/officeDocument/2006/customXml" ds:itemID="{E71BD475-FCC1-4313-AFB6-63B33EF90C9B}"/>
</file>

<file path=customXml/itemProps5.xml><?xml version="1.0" encoding="utf-8"?>
<ds:datastoreItem xmlns:ds="http://schemas.openxmlformats.org/officeDocument/2006/customXml" ds:itemID="{B613DAEE-1A53-4D94-A2F4-BDABEFB0EBF9}"/>
</file>

<file path=customXml/itemProps6.xml><?xml version="1.0" encoding="utf-8"?>
<ds:datastoreItem xmlns:ds="http://schemas.openxmlformats.org/officeDocument/2006/customXml" ds:itemID="{5085C9BC-59CF-41A3-B5A5-A4A0561F7BD1}"/>
</file>

<file path=docProps/app.xml><?xml version="1.0" encoding="utf-8"?>
<Properties xmlns="http://schemas.openxmlformats.org/officeDocument/2006/extended-properties" xmlns:vt="http://schemas.openxmlformats.org/officeDocument/2006/docPropsVTypes">
  <Template>IBM Consulting Generic Proposal Template 2025_Arial 11</Template>
  <TotalTime>56</TotalTime>
  <Pages>10</Pages>
  <Words>3913</Words>
  <Characters>24678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IBM</Company>
  <LinksUpToDate>false</LinksUpToDate>
  <CharactersWithSpaces>28534</CharactersWithSpaces>
  <SharedDoc>false</SharedDoc>
  <HLinks>
    <vt:vector size="210" baseType="variant">
      <vt:variant>
        <vt:i4>1310773</vt:i4>
      </vt:variant>
      <vt:variant>
        <vt:i4>209</vt:i4>
      </vt:variant>
      <vt:variant>
        <vt:i4>0</vt:i4>
      </vt:variant>
      <vt:variant>
        <vt:i4>5</vt:i4>
      </vt:variant>
      <vt:variant>
        <vt:lpwstr/>
      </vt:variant>
      <vt:variant>
        <vt:lpwstr>_Toc350170179</vt:lpwstr>
      </vt:variant>
      <vt:variant>
        <vt:i4>1310773</vt:i4>
      </vt:variant>
      <vt:variant>
        <vt:i4>203</vt:i4>
      </vt:variant>
      <vt:variant>
        <vt:i4>0</vt:i4>
      </vt:variant>
      <vt:variant>
        <vt:i4>5</vt:i4>
      </vt:variant>
      <vt:variant>
        <vt:lpwstr/>
      </vt:variant>
      <vt:variant>
        <vt:lpwstr>_Toc350170178</vt:lpwstr>
      </vt:variant>
      <vt:variant>
        <vt:i4>1310773</vt:i4>
      </vt:variant>
      <vt:variant>
        <vt:i4>194</vt:i4>
      </vt:variant>
      <vt:variant>
        <vt:i4>0</vt:i4>
      </vt:variant>
      <vt:variant>
        <vt:i4>5</vt:i4>
      </vt:variant>
      <vt:variant>
        <vt:lpwstr/>
      </vt:variant>
      <vt:variant>
        <vt:lpwstr>_Toc350170177</vt:lpwstr>
      </vt:variant>
      <vt:variant>
        <vt:i4>1310773</vt:i4>
      </vt:variant>
      <vt:variant>
        <vt:i4>188</vt:i4>
      </vt:variant>
      <vt:variant>
        <vt:i4>0</vt:i4>
      </vt:variant>
      <vt:variant>
        <vt:i4>5</vt:i4>
      </vt:variant>
      <vt:variant>
        <vt:lpwstr/>
      </vt:variant>
      <vt:variant>
        <vt:lpwstr>_Toc350170176</vt:lpwstr>
      </vt:variant>
      <vt:variant>
        <vt:i4>1310773</vt:i4>
      </vt:variant>
      <vt:variant>
        <vt:i4>182</vt:i4>
      </vt:variant>
      <vt:variant>
        <vt:i4>0</vt:i4>
      </vt:variant>
      <vt:variant>
        <vt:i4>5</vt:i4>
      </vt:variant>
      <vt:variant>
        <vt:lpwstr/>
      </vt:variant>
      <vt:variant>
        <vt:lpwstr>_Toc350170175</vt:lpwstr>
      </vt:variant>
      <vt:variant>
        <vt:i4>1310773</vt:i4>
      </vt:variant>
      <vt:variant>
        <vt:i4>176</vt:i4>
      </vt:variant>
      <vt:variant>
        <vt:i4>0</vt:i4>
      </vt:variant>
      <vt:variant>
        <vt:i4>5</vt:i4>
      </vt:variant>
      <vt:variant>
        <vt:lpwstr/>
      </vt:variant>
      <vt:variant>
        <vt:lpwstr>_Toc350170174</vt:lpwstr>
      </vt:variant>
      <vt:variant>
        <vt:i4>1310773</vt:i4>
      </vt:variant>
      <vt:variant>
        <vt:i4>170</vt:i4>
      </vt:variant>
      <vt:variant>
        <vt:i4>0</vt:i4>
      </vt:variant>
      <vt:variant>
        <vt:i4>5</vt:i4>
      </vt:variant>
      <vt:variant>
        <vt:lpwstr/>
      </vt:variant>
      <vt:variant>
        <vt:lpwstr>_Toc350170173</vt:lpwstr>
      </vt:variant>
      <vt:variant>
        <vt:i4>1310773</vt:i4>
      </vt:variant>
      <vt:variant>
        <vt:i4>164</vt:i4>
      </vt:variant>
      <vt:variant>
        <vt:i4>0</vt:i4>
      </vt:variant>
      <vt:variant>
        <vt:i4>5</vt:i4>
      </vt:variant>
      <vt:variant>
        <vt:lpwstr/>
      </vt:variant>
      <vt:variant>
        <vt:lpwstr>_Toc350170172</vt:lpwstr>
      </vt:variant>
      <vt:variant>
        <vt:i4>1310773</vt:i4>
      </vt:variant>
      <vt:variant>
        <vt:i4>158</vt:i4>
      </vt:variant>
      <vt:variant>
        <vt:i4>0</vt:i4>
      </vt:variant>
      <vt:variant>
        <vt:i4>5</vt:i4>
      </vt:variant>
      <vt:variant>
        <vt:lpwstr/>
      </vt:variant>
      <vt:variant>
        <vt:lpwstr>_Toc350170171</vt:lpwstr>
      </vt:variant>
      <vt:variant>
        <vt:i4>1310773</vt:i4>
      </vt:variant>
      <vt:variant>
        <vt:i4>152</vt:i4>
      </vt:variant>
      <vt:variant>
        <vt:i4>0</vt:i4>
      </vt:variant>
      <vt:variant>
        <vt:i4>5</vt:i4>
      </vt:variant>
      <vt:variant>
        <vt:lpwstr/>
      </vt:variant>
      <vt:variant>
        <vt:lpwstr>_Toc350170170</vt:lpwstr>
      </vt:variant>
      <vt:variant>
        <vt:i4>1376309</vt:i4>
      </vt:variant>
      <vt:variant>
        <vt:i4>146</vt:i4>
      </vt:variant>
      <vt:variant>
        <vt:i4>0</vt:i4>
      </vt:variant>
      <vt:variant>
        <vt:i4>5</vt:i4>
      </vt:variant>
      <vt:variant>
        <vt:lpwstr/>
      </vt:variant>
      <vt:variant>
        <vt:lpwstr>_Toc350170169</vt:lpwstr>
      </vt:variant>
      <vt:variant>
        <vt:i4>1376309</vt:i4>
      </vt:variant>
      <vt:variant>
        <vt:i4>140</vt:i4>
      </vt:variant>
      <vt:variant>
        <vt:i4>0</vt:i4>
      </vt:variant>
      <vt:variant>
        <vt:i4>5</vt:i4>
      </vt:variant>
      <vt:variant>
        <vt:lpwstr/>
      </vt:variant>
      <vt:variant>
        <vt:lpwstr>_Toc350170168</vt:lpwstr>
      </vt:variant>
      <vt:variant>
        <vt:i4>1376309</vt:i4>
      </vt:variant>
      <vt:variant>
        <vt:i4>134</vt:i4>
      </vt:variant>
      <vt:variant>
        <vt:i4>0</vt:i4>
      </vt:variant>
      <vt:variant>
        <vt:i4>5</vt:i4>
      </vt:variant>
      <vt:variant>
        <vt:lpwstr/>
      </vt:variant>
      <vt:variant>
        <vt:lpwstr>_Toc350170167</vt:lpwstr>
      </vt:variant>
      <vt:variant>
        <vt:i4>1376309</vt:i4>
      </vt:variant>
      <vt:variant>
        <vt:i4>128</vt:i4>
      </vt:variant>
      <vt:variant>
        <vt:i4>0</vt:i4>
      </vt:variant>
      <vt:variant>
        <vt:i4>5</vt:i4>
      </vt:variant>
      <vt:variant>
        <vt:lpwstr/>
      </vt:variant>
      <vt:variant>
        <vt:lpwstr>_Toc350170166</vt:lpwstr>
      </vt:variant>
      <vt:variant>
        <vt:i4>1376309</vt:i4>
      </vt:variant>
      <vt:variant>
        <vt:i4>122</vt:i4>
      </vt:variant>
      <vt:variant>
        <vt:i4>0</vt:i4>
      </vt:variant>
      <vt:variant>
        <vt:i4>5</vt:i4>
      </vt:variant>
      <vt:variant>
        <vt:lpwstr/>
      </vt:variant>
      <vt:variant>
        <vt:lpwstr>_Toc350170165</vt:lpwstr>
      </vt:variant>
      <vt:variant>
        <vt:i4>1376309</vt:i4>
      </vt:variant>
      <vt:variant>
        <vt:i4>116</vt:i4>
      </vt:variant>
      <vt:variant>
        <vt:i4>0</vt:i4>
      </vt:variant>
      <vt:variant>
        <vt:i4>5</vt:i4>
      </vt:variant>
      <vt:variant>
        <vt:lpwstr/>
      </vt:variant>
      <vt:variant>
        <vt:lpwstr>_Toc350170164</vt:lpwstr>
      </vt:variant>
      <vt:variant>
        <vt:i4>1376309</vt:i4>
      </vt:variant>
      <vt:variant>
        <vt:i4>110</vt:i4>
      </vt:variant>
      <vt:variant>
        <vt:i4>0</vt:i4>
      </vt:variant>
      <vt:variant>
        <vt:i4>5</vt:i4>
      </vt:variant>
      <vt:variant>
        <vt:lpwstr/>
      </vt:variant>
      <vt:variant>
        <vt:lpwstr>_Toc350170163</vt:lpwstr>
      </vt:variant>
      <vt:variant>
        <vt:i4>1376309</vt:i4>
      </vt:variant>
      <vt:variant>
        <vt:i4>104</vt:i4>
      </vt:variant>
      <vt:variant>
        <vt:i4>0</vt:i4>
      </vt:variant>
      <vt:variant>
        <vt:i4>5</vt:i4>
      </vt:variant>
      <vt:variant>
        <vt:lpwstr/>
      </vt:variant>
      <vt:variant>
        <vt:lpwstr>_Toc350170162</vt:lpwstr>
      </vt:variant>
      <vt:variant>
        <vt:i4>1376309</vt:i4>
      </vt:variant>
      <vt:variant>
        <vt:i4>98</vt:i4>
      </vt:variant>
      <vt:variant>
        <vt:i4>0</vt:i4>
      </vt:variant>
      <vt:variant>
        <vt:i4>5</vt:i4>
      </vt:variant>
      <vt:variant>
        <vt:lpwstr/>
      </vt:variant>
      <vt:variant>
        <vt:lpwstr>_Toc350170161</vt:lpwstr>
      </vt:variant>
      <vt:variant>
        <vt:i4>1376309</vt:i4>
      </vt:variant>
      <vt:variant>
        <vt:i4>92</vt:i4>
      </vt:variant>
      <vt:variant>
        <vt:i4>0</vt:i4>
      </vt:variant>
      <vt:variant>
        <vt:i4>5</vt:i4>
      </vt:variant>
      <vt:variant>
        <vt:lpwstr/>
      </vt:variant>
      <vt:variant>
        <vt:lpwstr>_Toc350170160</vt:lpwstr>
      </vt:variant>
      <vt:variant>
        <vt:i4>1441845</vt:i4>
      </vt:variant>
      <vt:variant>
        <vt:i4>86</vt:i4>
      </vt:variant>
      <vt:variant>
        <vt:i4>0</vt:i4>
      </vt:variant>
      <vt:variant>
        <vt:i4>5</vt:i4>
      </vt:variant>
      <vt:variant>
        <vt:lpwstr/>
      </vt:variant>
      <vt:variant>
        <vt:lpwstr>_Toc350170159</vt:lpwstr>
      </vt:variant>
      <vt:variant>
        <vt:i4>1441845</vt:i4>
      </vt:variant>
      <vt:variant>
        <vt:i4>80</vt:i4>
      </vt:variant>
      <vt:variant>
        <vt:i4>0</vt:i4>
      </vt:variant>
      <vt:variant>
        <vt:i4>5</vt:i4>
      </vt:variant>
      <vt:variant>
        <vt:lpwstr/>
      </vt:variant>
      <vt:variant>
        <vt:lpwstr>_Toc350170158</vt:lpwstr>
      </vt:variant>
      <vt:variant>
        <vt:i4>1441845</vt:i4>
      </vt:variant>
      <vt:variant>
        <vt:i4>74</vt:i4>
      </vt:variant>
      <vt:variant>
        <vt:i4>0</vt:i4>
      </vt:variant>
      <vt:variant>
        <vt:i4>5</vt:i4>
      </vt:variant>
      <vt:variant>
        <vt:lpwstr/>
      </vt:variant>
      <vt:variant>
        <vt:lpwstr>_Toc350170157</vt:lpwstr>
      </vt:variant>
      <vt:variant>
        <vt:i4>1441845</vt:i4>
      </vt:variant>
      <vt:variant>
        <vt:i4>68</vt:i4>
      </vt:variant>
      <vt:variant>
        <vt:i4>0</vt:i4>
      </vt:variant>
      <vt:variant>
        <vt:i4>5</vt:i4>
      </vt:variant>
      <vt:variant>
        <vt:lpwstr/>
      </vt:variant>
      <vt:variant>
        <vt:lpwstr>_Toc350170156</vt:lpwstr>
      </vt:variant>
      <vt:variant>
        <vt:i4>1441845</vt:i4>
      </vt:variant>
      <vt:variant>
        <vt:i4>62</vt:i4>
      </vt:variant>
      <vt:variant>
        <vt:i4>0</vt:i4>
      </vt:variant>
      <vt:variant>
        <vt:i4>5</vt:i4>
      </vt:variant>
      <vt:variant>
        <vt:lpwstr/>
      </vt:variant>
      <vt:variant>
        <vt:lpwstr>_Toc350170155</vt:lpwstr>
      </vt:variant>
      <vt:variant>
        <vt:i4>1441845</vt:i4>
      </vt:variant>
      <vt:variant>
        <vt:i4>56</vt:i4>
      </vt:variant>
      <vt:variant>
        <vt:i4>0</vt:i4>
      </vt:variant>
      <vt:variant>
        <vt:i4>5</vt:i4>
      </vt:variant>
      <vt:variant>
        <vt:lpwstr/>
      </vt:variant>
      <vt:variant>
        <vt:lpwstr>_Toc350170154</vt:lpwstr>
      </vt:variant>
      <vt:variant>
        <vt:i4>1441845</vt:i4>
      </vt:variant>
      <vt:variant>
        <vt:i4>50</vt:i4>
      </vt:variant>
      <vt:variant>
        <vt:i4>0</vt:i4>
      </vt:variant>
      <vt:variant>
        <vt:i4>5</vt:i4>
      </vt:variant>
      <vt:variant>
        <vt:lpwstr/>
      </vt:variant>
      <vt:variant>
        <vt:lpwstr>_Toc350170153</vt:lpwstr>
      </vt:variant>
      <vt:variant>
        <vt:i4>1441845</vt:i4>
      </vt:variant>
      <vt:variant>
        <vt:i4>44</vt:i4>
      </vt:variant>
      <vt:variant>
        <vt:i4>0</vt:i4>
      </vt:variant>
      <vt:variant>
        <vt:i4>5</vt:i4>
      </vt:variant>
      <vt:variant>
        <vt:lpwstr/>
      </vt:variant>
      <vt:variant>
        <vt:lpwstr>_Toc350170152</vt:lpwstr>
      </vt:variant>
      <vt:variant>
        <vt:i4>1441845</vt:i4>
      </vt:variant>
      <vt:variant>
        <vt:i4>38</vt:i4>
      </vt:variant>
      <vt:variant>
        <vt:i4>0</vt:i4>
      </vt:variant>
      <vt:variant>
        <vt:i4>5</vt:i4>
      </vt:variant>
      <vt:variant>
        <vt:lpwstr/>
      </vt:variant>
      <vt:variant>
        <vt:lpwstr>_Toc350170151</vt:lpwstr>
      </vt:variant>
      <vt:variant>
        <vt:i4>1441845</vt:i4>
      </vt:variant>
      <vt:variant>
        <vt:i4>32</vt:i4>
      </vt:variant>
      <vt:variant>
        <vt:i4>0</vt:i4>
      </vt:variant>
      <vt:variant>
        <vt:i4>5</vt:i4>
      </vt:variant>
      <vt:variant>
        <vt:lpwstr/>
      </vt:variant>
      <vt:variant>
        <vt:lpwstr>_Toc350170150</vt:lpwstr>
      </vt:variant>
      <vt:variant>
        <vt:i4>1507381</vt:i4>
      </vt:variant>
      <vt:variant>
        <vt:i4>26</vt:i4>
      </vt:variant>
      <vt:variant>
        <vt:i4>0</vt:i4>
      </vt:variant>
      <vt:variant>
        <vt:i4>5</vt:i4>
      </vt:variant>
      <vt:variant>
        <vt:lpwstr/>
      </vt:variant>
      <vt:variant>
        <vt:lpwstr>_Toc350170149</vt:lpwstr>
      </vt:variant>
      <vt:variant>
        <vt:i4>1507381</vt:i4>
      </vt:variant>
      <vt:variant>
        <vt:i4>20</vt:i4>
      </vt:variant>
      <vt:variant>
        <vt:i4>0</vt:i4>
      </vt:variant>
      <vt:variant>
        <vt:i4>5</vt:i4>
      </vt:variant>
      <vt:variant>
        <vt:lpwstr/>
      </vt:variant>
      <vt:variant>
        <vt:lpwstr>_Toc350170148</vt:lpwstr>
      </vt:variant>
      <vt:variant>
        <vt:i4>1507381</vt:i4>
      </vt:variant>
      <vt:variant>
        <vt:i4>14</vt:i4>
      </vt:variant>
      <vt:variant>
        <vt:i4>0</vt:i4>
      </vt:variant>
      <vt:variant>
        <vt:i4>5</vt:i4>
      </vt:variant>
      <vt:variant>
        <vt:lpwstr/>
      </vt:variant>
      <vt:variant>
        <vt:lpwstr>_Toc350170147</vt:lpwstr>
      </vt:variant>
      <vt:variant>
        <vt:i4>1507381</vt:i4>
      </vt:variant>
      <vt:variant>
        <vt:i4>8</vt:i4>
      </vt:variant>
      <vt:variant>
        <vt:i4>0</vt:i4>
      </vt:variant>
      <vt:variant>
        <vt:i4>5</vt:i4>
      </vt:variant>
      <vt:variant>
        <vt:lpwstr/>
      </vt:variant>
      <vt:variant>
        <vt:lpwstr>_Toc350170146</vt:lpwstr>
      </vt:variant>
      <vt:variant>
        <vt:i4>1507381</vt:i4>
      </vt:variant>
      <vt:variant>
        <vt:i4>2</vt:i4>
      </vt:variant>
      <vt:variant>
        <vt:i4>0</vt:i4>
      </vt:variant>
      <vt:variant>
        <vt:i4>5</vt:i4>
      </vt:variant>
      <vt:variant>
        <vt:lpwstr/>
      </vt:variant>
      <vt:variant>
        <vt:lpwstr>_Toc350170145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Yems Estrella</dc:creator>
  <cp:lastModifiedBy>Cheria Blomme</cp:lastModifiedBy>
  <cp:revision>70</cp:revision>
  <cp:lastPrinted>2025-10-27T01:33:00Z</cp:lastPrinted>
  <dcterms:created xsi:type="dcterms:W3CDTF">2025-08-27T10:52:00Z</dcterms:created>
  <dcterms:modified xsi:type="dcterms:W3CDTF">2025-10-27T01:34:00Z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0x01010007F886295FD50240A51205FADCF73148</vt:lpwstr>
  </property>
  <property fmtid="{D5CDD505-2E9C-101B-9397-08002B2CF9AE}" pid="3" name="_dlc_DocIdItemGuid">
    <vt:lpwstr>9ce0ca40-fca0-41e8-8fc9-be7b2508d58c</vt:lpwstr>
  </property>
</Properties>
</file>